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0D75A"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after="0" w:line="360" w:lineRule="auto"/>
        <w:ind w:left="0" w:leftChars="0" w:right="0" w:firstLine="643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海南医科大学第二附属医院</w:t>
      </w:r>
    </w:p>
    <w:p w14:paraId="396F754F"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after="0" w:line="360" w:lineRule="auto"/>
        <w:ind w:left="0" w:leftChars="0" w:right="0" w:firstLine="643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绩效管理系统运维及升级改造服务</w:t>
      </w:r>
    </w:p>
    <w:p w14:paraId="370301A5">
      <w:pPr>
        <w:pStyle w:val="3"/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after="0" w:line="360" w:lineRule="auto"/>
        <w:ind w:left="0" w:leftChars="0" w:right="0" w:firstLine="643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需求书</w:t>
      </w:r>
    </w:p>
    <w:p w14:paraId="1ADE799E">
      <w:pPr>
        <w:pStyle w:val="2"/>
        <w:pageBreakBefore w:val="0"/>
        <w:wordWrap/>
        <w:overflowPunct/>
        <w:topLinePunct w:val="0"/>
        <w:bidi w:val="0"/>
        <w:spacing w:before="0" w:beforeLines="0" w:after="0" w:afterLines="0" w:line="360" w:lineRule="auto"/>
        <w:ind w:left="0" w:leftChars="0" w:right="0" w:firstLine="482" w:firstLineChars="200"/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  <w:t>一、项目背景</w:t>
      </w:r>
    </w:p>
    <w:p w14:paraId="3918CC4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  <w:t>我院绩效管理系统</w:t>
      </w:r>
      <w:r>
        <w:rPr>
          <w:rFonts w:hint="eastAsia" w:cs="Times New Roman"/>
          <w:b w:val="0"/>
          <w:color w:val="000000"/>
          <w:kern w:val="0"/>
          <w:sz w:val="24"/>
          <w:lang w:val="en-US" w:eastAsia="zh-CN" w:bidi="ar"/>
        </w:rPr>
        <w:t>运维服务期限已满，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为确保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  <w:t>系统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正常运行、系统故障及时修复，故购买</w:t>
      </w:r>
      <w:r>
        <w:rPr>
          <w:rFonts w:hint="eastAsia" w:cs="Times New Roman"/>
          <w:color w:val="000000"/>
          <w:kern w:val="0"/>
          <w:sz w:val="24"/>
          <w:lang w:val="en-US" w:eastAsia="zh-CN" w:bidi="ar"/>
        </w:rPr>
        <w:t>绩效管理系统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维保服务。</w:t>
      </w:r>
    </w:p>
    <w:p w14:paraId="2B068E4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</w:pPr>
      <w:r>
        <w:rPr>
          <w:rFonts w:hint="eastAsia" w:cs="Times New Roman"/>
          <w:b w:val="0"/>
          <w:color w:val="000000"/>
          <w:kern w:val="0"/>
          <w:sz w:val="24"/>
          <w:lang w:val="en-US" w:eastAsia="zh-CN" w:bidi="ar"/>
        </w:rPr>
        <w:t>此外，针对科室个性化需求，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为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 w:bidi="ar"/>
        </w:rPr>
        <w:t>提升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  <w:t>绩效管理系统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的使用适配性，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 w:bidi="ar"/>
        </w:rPr>
        <w:t>优化系统功能，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故购买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  <w:t>绩效管理系统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 w:bidi="ar"/>
        </w:rPr>
        <w:t>优化</w:t>
      </w:r>
      <w:r>
        <w:rPr>
          <w:rFonts w:hint="eastAsia" w:ascii="Times New Roman" w:hAnsi="Times New Roman" w:cs="Times New Roman"/>
          <w:color w:val="000000"/>
          <w:kern w:val="0"/>
          <w:sz w:val="24"/>
          <w:lang w:bidi="ar"/>
        </w:rPr>
        <w:t>服务</w:t>
      </w:r>
      <w:r>
        <w:rPr>
          <w:rFonts w:hint="eastAsia" w:cs="Times New Roman"/>
          <w:color w:val="000000"/>
          <w:kern w:val="0"/>
          <w:sz w:val="24"/>
          <w:lang w:eastAsia="zh-CN" w:bidi="ar"/>
        </w:rPr>
        <w:t>。</w:t>
      </w:r>
    </w:p>
    <w:p w14:paraId="6992D637">
      <w:pPr>
        <w:pStyle w:val="2"/>
        <w:pageBreakBefore w:val="0"/>
        <w:wordWrap/>
        <w:overflowPunct/>
        <w:topLinePunct w:val="0"/>
        <w:bidi w:val="0"/>
        <w:spacing w:before="0" w:beforeLines="0" w:after="0" w:afterLines="0" w:line="360" w:lineRule="auto"/>
        <w:ind w:left="0" w:leftChars="0" w:right="0" w:firstLine="482" w:firstLineChars="200"/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  <w:t>二、投标人资质要求</w:t>
      </w:r>
    </w:p>
    <w:p w14:paraId="71C88B22"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投标人须具备完成本项目相关工作的资质与能力。</w:t>
      </w:r>
    </w:p>
    <w:p w14:paraId="7C657E7C">
      <w:pPr>
        <w:pStyle w:val="2"/>
        <w:pageBreakBefore w:val="0"/>
        <w:wordWrap/>
        <w:overflowPunct/>
        <w:topLinePunct w:val="0"/>
        <w:bidi w:val="0"/>
        <w:spacing w:before="0" w:beforeLines="0" w:after="0" w:afterLines="0" w:line="360" w:lineRule="auto"/>
        <w:ind w:left="0" w:leftChars="0" w:right="0" w:firstLine="482" w:firstLineChars="200"/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  <w:t>三、项目价款</w:t>
      </w:r>
    </w:p>
    <w:p w14:paraId="1AFB4229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firstLine="480" w:firstLineChars="200"/>
        <w:jc w:val="left"/>
        <w:textAlignment w:val="baseline"/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  <w:t>1.本项目报价应包括：</w:t>
      </w:r>
      <w:r>
        <w:rPr>
          <w:rFonts w:hint="eastAsia" w:ascii="Times New Roman" w:hAnsi="Times New Roman" w:eastAsia="宋体" w:cs="Times New Roman"/>
          <w:snapToGrid/>
          <w:color w:val="000000"/>
          <w:kern w:val="0"/>
          <w:sz w:val="24"/>
          <w:szCs w:val="24"/>
          <w:lang w:val="en-US" w:eastAsia="zh-CN" w:bidi="ar"/>
        </w:rPr>
        <w:t>维护期内系统的养护、检测、故障排除、数据库及软件服务巡检、系统升级改造、技术支持、各系统接口对接、会议、访谈、研讨等活动所发生的服务费、税费、交通费、食宿费、差旅费、通讯费等保障甲方正常使用本合同项下所购内容的一切费用的总和。</w:t>
      </w:r>
    </w:p>
    <w:p w14:paraId="7B706FF4">
      <w:pPr>
        <w:pageBreakBefore w:val="0"/>
        <w:widowControl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4"/>
          <w:lang w:bidi="ar"/>
        </w:rPr>
        <w:t>2.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bidi="ar"/>
        </w:rPr>
        <w:t>维护期内所发生的一切费用包括系统技术支持、系统维护、人员交通、差旅服务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eastAsia="zh-CN" w:bidi="ar"/>
        </w:rPr>
        <w:t>、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  <w:t>食宿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bidi="ar"/>
        </w:rPr>
        <w:t>等全部费用均由中标人承担，采购人不再另行付费。</w:t>
      </w:r>
    </w:p>
    <w:p w14:paraId="09808242">
      <w:pPr>
        <w:pageBreakBefore w:val="0"/>
        <w:widowControl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4"/>
          <w:lang w:bidi="ar"/>
        </w:rPr>
        <w:t>3.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bidi="ar"/>
        </w:rPr>
        <w:t>投标人应结合自身实力，充分考虑完成本项目所需人员及时间等因素合理制定收费标准，收费标准不得高于《海南省政务信息化项目投资编制标（</w:t>
      </w: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4"/>
          <w:lang w:bidi="ar"/>
        </w:rPr>
        <w:t>2025 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bidi="ar"/>
        </w:rPr>
        <w:t>年版）》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  <w:t>3.3软件运维费计算方法：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  <w:t>成品软件运维费=运维对象IT资产额×运维费率×运维年限系数</w:t>
      </w:r>
      <w:r>
        <w:rPr>
          <w:rFonts w:hint="eastAsia" w:cs="Times New Roman"/>
          <w:b w:val="0"/>
          <w:color w:val="000000"/>
          <w:kern w:val="0"/>
          <w:sz w:val="24"/>
          <w:lang w:val="en-US" w:eastAsia="zh-CN" w:bidi="ar"/>
        </w:rPr>
        <w:t>。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  <w:t>本</w:t>
      </w:r>
      <w:r>
        <w:rPr>
          <w:rFonts w:hint="eastAsia" w:cs="Times New Roman"/>
          <w:b w:val="0"/>
          <w:color w:val="000000"/>
          <w:kern w:val="0"/>
          <w:sz w:val="24"/>
          <w:lang w:val="en-US" w:eastAsia="zh-CN" w:bidi="ar"/>
        </w:rPr>
        <w:t>次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  <w:t>项目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  <w:t>运维对象：绩效管理系统IT资产总额为¥300,000.00（人民币大写：叁拾万元整），本次运维为质保期后的第四年，运维年限系数取0.9，</w:t>
      </w:r>
      <w:r>
        <w:rPr>
          <w:rFonts w:hint="eastAsia" w:cs="Times New Roman"/>
          <w:b w:val="0"/>
          <w:color w:val="000000"/>
          <w:kern w:val="0"/>
          <w:sz w:val="24"/>
          <w:lang w:val="en-US" w:eastAsia="zh-CN" w:bidi="ar"/>
        </w:rPr>
        <w:t>按照标准，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  <w:t>运维费率取值不高于5%，即本次绩效管理系统运维服务费用最高不得超过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val="en-US" w:eastAsia="zh-CN" w:bidi="ar"/>
        </w:rPr>
        <w:t>¥13,500.00（人民币大写：壹万叁仟伍佰元整）。</w:t>
      </w:r>
    </w:p>
    <w:p w14:paraId="3258E539">
      <w:pPr>
        <w:pageBreakBefore w:val="0"/>
        <w:widowControl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4"/>
          <w:lang w:bidi="ar"/>
        </w:rPr>
        <w:t>4.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bidi="ar"/>
        </w:rPr>
        <w:t>成交报价人不得以任何方式转包或分包本项目。</w:t>
      </w:r>
    </w:p>
    <w:p w14:paraId="56055F29">
      <w:pPr>
        <w:pStyle w:val="2"/>
        <w:pageBreakBefore w:val="0"/>
        <w:wordWrap/>
        <w:overflowPunct/>
        <w:topLinePunct w:val="0"/>
        <w:bidi w:val="0"/>
        <w:spacing w:before="0" w:beforeLines="0" w:after="0" w:afterLines="0" w:line="360" w:lineRule="auto"/>
        <w:ind w:left="0" w:leftChars="0" w:right="0" w:firstLine="482" w:firstLineChars="200"/>
        <w:rPr>
          <w:rFonts w:hint="default" w:asciiTheme="minorHAnsi" w:hAnsiTheme="minorHAnsi" w:eastAsiaTheme="minorEastAsia" w:cstheme="minorBidi"/>
          <w:b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  <w:t>四、建设内容</w:t>
      </w:r>
    </w:p>
    <w:tbl>
      <w:tblPr>
        <w:tblStyle w:val="8"/>
        <w:tblW w:w="8450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414"/>
        <w:gridCol w:w="2228"/>
        <w:gridCol w:w="2016"/>
      </w:tblGrid>
      <w:tr w14:paraId="54C3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92" w:type="dxa"/>
          </w:tcPr>
          <w:p w14:paraId="77BE8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3414" w:type="dxa"/>
          </w:tcPr>
          <w:p w14:paraId="0A283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产品名称</w:t>
            </w:r>
          </w:p>
        </w:tc>
        <w:tc>
          <w:tcPr>
            <w:tcW w:w="2228" w:type="dxa"/>
          </w:tcPr>
          <w:p w14:paraId="72BDB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最高限额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16" w:type="dxa"/>
          </w:tcPr>
          <w:p w14:paraId="01246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 w14:paraId="5B05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2" w:type="dxa"/>
          </w:tcPr>
          <w:p w14:paraId="61792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14:paraId="58DF0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绩效管理系统运维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2228" w:type="dxa"/>
          </w:tcPr>
          <w:p w14:paraId="66C32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13,500.00</w:t>
            </w:r>
          </w:p>
        </w:tc>
        <w:tc>
          <w:tcPr>
            <w:tcW w:w="2016" w:type="dxa"/>
          </w:tcPr>
          <w:p w14:paraId="7CBBE17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C96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043BC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414" w:type="dxa"/>
          </w:tcPr>
          <w:p w14:paraId="4EAD0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绩效管理系统升级改造服务</w:t>
            </w:r>
          </w:p>
        </w:tc>
        <w:tc>
          <w:tcPr>
            <w:tcW w:w="2228" w:type="dxa"/>
          </w:tcPr>
          <w:p w14:paraId="2530E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F66F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25D6B748">
      <w:pPr>
        <w:pStyle w:val="2"/>
        <w:pageBreakBefore w:val="0"/>
        <w:wordWrap/>
        <w:overflowPunct/>
        <w:topLinePunct w:val="0"/>
        <w:bidi w:val="0"/>
        <w:spacing w:before="0" w:beforeLines="0" w:after="0" w:afterLines="0" w:line="360" w:lineRule="auto"/>
        <w:ind w:left="0" w:leftChars="0" w:right="0" w:firstLine="482" w:firstLineChars="200"/>
        <w:rPr>
          <w:rFonts w:hint="default" w:asciiTheme="minorHAnsi" w:hAnsiTheme="minorHAnsi" w:eastAsiaTheme="minorEastAsia" w:cstheme="minorBidi"/>
          <w:b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  <w:t>五、具体要求及描述</w:t>
      </w:r>
    </w:p>
    <w:p w14:paraId="28ADCF67">
      <w:pPr>
        <w:pStyle w:val="5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绩效管理系统运维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服务</w:t>
      </w:r>
      <w:bookmarkStart w:id="0" w:name="_GoBack"/>
      <w:bookmarkEnd w:id="0"/>
    </w:p>
    <w:p w14:paraId="6C6BD602">
      <w:pPr>
        <w:pageBreakBefore w:val="0"/>
        <w:widowControl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bidi="ar"/>
        </w:rPr>
        <w:t>1.工作要求：保障软件的正常运行，确保软件的正常使用。</w:t>
      </w:r>
    </w:p>
    <w:p w14:paraId="1E50631B">
      <w:pPr>
        <w:pStyle w:val="5"/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lang w:bidi="ar"/>
        </w:rPr>
        <w:t>2.维护期限：自合同签订之日起壹年。</w:t>
      </w:r>
    </w:p>
    <w:tbl>
      <w:tblPr>
        <w:tblStyle w:val="7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455"/>
        <w:gridCol w:w="3722"/>
        <w:gridCol w:w="1838"/>
        <w:gridCol w:w="1565"/>
        <w:gridCol w:w="672"/>
      </w:tblGrid>
      <w:tr w14:paraId="000D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7" w:type="dxa"/>
            <w:vMerge w:val="restart"/>
            <w:noWrap/>
            <w:vAlign w:val="center"/>
          </w:tcPr>
          <w:p w14:paraId="00BB62F4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绩效管理系统运维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1455" w:type="dxa"/>
            <w:noWrap/>
            <w:vAlign w:val="center"/>
          </w:tcPr>
          <w:p w14:paraId="2CF59895">
            <w:pPr>
              <w:widowControl/>
              <w:jc w:val="left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3722" w:type="dxa"/>
            <w:noWrap/>
            <w:vAlign w:val="center"/>
          </w:tcPr>
          <w:p w14:paraId="4EEAB30E">
            <w:pPr>
              <w:widowControl/>
              <w:jc w:val="left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838" w:type="dxa"/>
            <w:noWrap/>
            <w:vAlign w:val="center"/>
          </w:tcPr>
          <w:p w14:paraId="3CEAA2D0">
            <w:pPr>
              <w:widowControl/>
              <w:jc w:val="left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</w:rPr>
              <w:t>服务方式</w:t>
            </w:r>
          </w:p>
        </w:tc>
        <w:tc>
          <w:tcPr>
            <w:tcW w:w="1565" w:type="dxa"/>
            <w:noWrap/>
            <w:vAlign w:val="center"/>
          </w:tcPr>
          <w:p w14:paraId="73F3E944">
            <w:pPr>
              <w:widowControl/>
              <w:jc w:val="left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</w:rPr>
              <w:t>服务标准及要求</w:t>
            </w:r>
          </w:p>
        </w:tc>
        <w:tc>
          <w:tcPr>
            <w:tcW w:w="672" w:type="dxa"/>
            <w:noWrap/>
            <w:vAlign w:val="center"/>
          </w:tcPr>
          <w:p w14:paraId="7ED039A4">
            <w:pPr>
              <w:widowControl/>
              <w:jc w:val="left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AD9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467" w:type="dxa"/>
            <w:vMerge w:val="continue"/>
            <w:noWrap/>
            <w:vAlign w:val="center"/>
          </w:tcPr>
          <w:p w14:paraId="7454FAFD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5" w:type="dxa"/>
            <w:noWrap/>
            <w:vAlign w:val="center"/>
          </w:tcPr>
          <w:p w14:paraId="37112F25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  <w:t>故障响应</w:t>
            </w:r>
          </w:p>
        </w:tc>
        <w:tc>
          <w:tcPr>
            <w:tcW w:w="3722" w:type="dxa"/>
            <w:vAlign w:val="center"/>
          </w:tcPr>
          <w:p w14:paraId="14F449A6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  <w:t>提供7*24小时故障响应服务，对于由网络、服务器、计算机、操作系统等原因造成的软件无法正常运行的情况进行处理，保障系统的正常运行，并在完成故障处理后出具产品维护报告，包含问题的原因、解决办法及建议。</w:t>
            </w:r>
          </w:p>
        </w:tc>
        <w:tc>
          <w:tcPr>
            <w:tcW w:w="1838" w:type="dxa"/>
            <w:vMerge w:val="restart"/>
            <w:vAlign w:val="center"/>
          </w:tcPr>
          <w:p w14:paraId="33A5EB3A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86BA614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D58D0AD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6732E67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73D7445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  <w:t>有条件进行远程，将通过远程工具第一时间解决故障问题，保证系统运行。若远程维护无法解决故问题，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除双方另有约定外，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eastAsia="zh-CN" w:bidi="ar"/>
              </w:rPr>
              <w:t>乙方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  <w:t>应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在收到报障信息24小时内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  <w:t>派遣技术人员到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达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  <w:t>使用现场解决问题，并进行系统保障服务。</w:t>
            </w:r>
          </w:p>
          <w:p w14:paraId="2F485C05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02AC336C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2E43FBA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8CAB551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F5E8FF1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98D49B3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F569723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  <w:t>提供7*24小时服务热线，故障响应时间≤10 分钟，一般故障于2小时内解决，严重故障于12小时内解决，如非现场不能解决故障，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除双方另有约定外，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  <w:t>24小时内到达故障现场。</w:t>
            </w:r>
          </w:p>
        </w:tc>
        <w:tc>
          <w:tcPr>
            <w:tcW w:w="672" w:type="dxa"/>
            <w:vMerge w:val="restart"/>
            <w:noWrap/>
            <w:vAlign w:val="center"/>
          </w:tcPr>
          <w:p w14:paraId="1DD15F51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73B7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67" w:type="dxa"/>
            <w:vMerge w:val="continue"/>
            <w:noWrap/>
            <w:vAlign w:val="center"/>
          </w:tcPr>
          <w:p w14:paraId="5B31E9BC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5" w:type="dxa"/>
            <w:noWrap/>
            <w:vAlign w:val="center"/>
          </w:tcPr>
          <w:p w14:paraId="4C4968B4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  <w:t>软件正确性维护</w:t>
            </w:r>
          </w:p>
        </w:tc>
        <w:tc>
          <w:tcPr>
            <w:tcW w:w="3722" w:type="dxa"/>
            <w:vAlign w:val="center"/>
          </w:tcPr>
          <w:p w14:paraId="261109DC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  <w:t>软件运行过程中发现的错误，负责维护并及时改进，同时向院方提供软件维护说明。</w:t>
            </w:r>
          </w:p>
        </w:tc>
        <w:tc>
          <w:tcPr>
            <w:tcW w:w="1838" w:type="dxa"/>
            <w:vMerge w:val="continue"/>
            <w:vAlign w:val="center"/>
          </w:tcPr>
          <w:p w14:paraId="3A93EA70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2F27981A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2" w:type="dxa"/>
            <w:vMerge w:val="continue"/>
            <w:noWrap/>
            <w:vAlign w:val="center"/>
          </w:tcPr>
          <w:p w14:paraId="48900A28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410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  <w:jc w:val="center"/>
        </w:trPr>
        <w:tc>
          <w:tcPr>
            <w:tcW w:w="467" w:type="dxa"/>
            <w:vMerge w:val="continue"/>
            <w:noWrap/>
            <w:vAlign w:val="center"/>
          </w:tcPr>
          <w:p w14:paraId="3266EEE6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5" w:type="dxa"/>
            <w:noWrap/>
            <w:vAlign w:val="center"/>
          </w:tcPr>
          <w:p w14:paraId="14F73554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定时巡检</w:t>
            </w:r>
          </w:p>
        </w:tc>
        <w:tc>
          <w:tcPr>
            <w:tcW w:w="3722" w:type="dxa"/>
            <w:vAlign w:val="center"/>
          </w:tcPr>
          <w:p w14:paraId="143F683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经院方许可，每季度至少进行一次定期巡检，除定期的巡检之外，根据实际情况提供重大的节假日（包括但不限于五一、十一、春节、元旦等）、会议等事件之前的健康检查工作，对院方应用软件的软硬件环境进行检查，发现影响系统稳定运行的隐患因素并及时排除。向院方出具系统巡检报告，内容包含巡检范围、结果及巡检建议等。</w:t>
            </w:r>
          </w:p>
          <w:p w14:paraId="0AE65BF2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38" w:type="dxa"/>
            <w:vMerge w:val="continue"/>
            <w:vAlign w:val="center"/>
          </w:tcPr>
          <w:p w14:paraId="32EF1141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0D5CC43F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2" w:type="dxa"/>
            <w:noWrap/>
            <w:vAlign w:val="center"/>
          </w:tcPr>
          <w:p w14:paraId="435C74E5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C1F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67" w:type="dxa"/>
            <w:vMerge w:val="continue"/>
            <w:noWrap/>
            <w:vAlign w:val="center"/>
          </w:tcPr>
          <w:p w14:paraId="1A0F5D20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5" w:type="dxa"/>
            <w:noWrap/>
            <w:vAlign w:val="center"/>
          </w:tcPr>
          <w:p w14:paraId="7932B203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数据迁移、备份和恢复服务</w:t>
            </w:r>
          </w:p>
        </w:tc>
        <w:tc>
          <w:tcPr>
            <w:tcW w:w="3722" w:type="dxa"/>
            <w:vAlign w:val="center"/>
          </w:tcPr>
          <w:p w14:paraId="4593234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如采购人需要，提供数据迁移、备份和恢复服务。</w:t>
            </w:r>
          </w:p>
        </w:tc>
        <w:tc>
          <w:tcPr>
            <w:tcW w:w="1838" w:type="dxa"/>
            <w:vMerge w:val="continue"/>
            <w:vAlign w:val="center"/>
          </w:tcPr>
          <w:p w14:paraId="75DF6ACD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1C6912A3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2" w:type="dxa"/>
            <w:noWrap/>
            <w:vAlign w:val="center"/>
          </w:tcPr>
          <w:p w14:paraId="25617DA6">
            <w:pPr>
              <w:kinsoku w:val="0"/>
              <w:autoSpaceDE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0551226C">
      <w:pPr>
        <w:pStyle w:val="2"/>
        <w:spacing w:before="0" w:after="0" w:line="360" w:lineRule="auto"/>
        <w:ind w:firstLine="480" w:firstLineChars="200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（二）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绩效管理系统升级改造服务</w:t>
      </w:r>
    </w:p>
    <w:p w14:paraId="07234FB8">
      <w:pPr>
        <w:kinsoku w:val="0"/>
        <w:autoSpaceDE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szCs w:val="24"/>
          <w:lang w:bidi="ar"/>
        </w:rPr>
        <w:t>工作要求：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4"/>
          <w:szCs w:val="24"/>
          <w:lang w:val="en-US" w:eastAsia="zh-CN" w:bidi="ar"/>
        </w:rPr>
        <w:t>根据使用科室需求对绩效管理系统进行升级改造，具体改造清单如下：</w:t>
      </w:r>
    </w:p>
    <w:tbl>
      <w:tblPr>
        <w:tblStyle w:val="8"/>
        <w:tblW w:w="9763" w:type="dxa"/>
        <w:tblInd w:w="-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176"/>
        <w:gridCol w:w="2329"/>
        <w:gridCol w:w="5236"/>
      </w:tblGrid>
      <w:tr w14:paraId="54AC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restart"/>
            <w:vAlign w:val="center"/>
          </w:tcPr>
          <w:p w14:paraId="39ADF9B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绩效管理系统升级改造服务</w:t>
            </w:r>
          </w:p>
        </w:tc>
        <w:tc>
          <w:tcPr>
            <w:tcW w:w="1176" w:type="dxa"/>
            <w:vAlign w:val="center"/>
          </w:tcPr>
          <w:p w14:paraId="3F5FD20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2329" w:type="dxa"/>
            <w:vAlign w:val="center"/>
          </w:tcPr>
          <w:p w14:paraId="11C8DEE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建设内容</w:t>
            </w:r>
          </w:p>
        </w:tc>
        <w:tc>
          <w:tcPr>
            <w:tcW w:w="5236" w:type="dxa"/>
            <w:vAlign w:val="center"/>
          </w:tcPr>
          <w:p w14:paraId="4D51594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具体描述及要求</w:t>
            </w:r>
          </w:p>
        </w:tc>
      </w:tr>
      <w:tr w14:paraId="17E8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vAlign w:val="center"/>
          </w:tcPr>
          <w:p w14:paraId="1AA1372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022EB09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功能新增</w:t>
            </w:r>
          </w:p>
        </w:tc>
        <w:tc>
          <w:tcPr>
            <w:tcW w:w="2329" w:type="dxa"/>
            <w:vAlign w:val="center"/>
          </w:tcPr>
          <w:p w14:paraId="21CEF5F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新增同科室不同月份分析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功能</w:t>
            </w:r>
          </w:p>
        </w:tc>
        <w:tc>
          <w:tcPr>
            <w:tcW w:w="5236" w:type="dxa"/>
            <w:vAlign w:val="center"/>
          </w:tcPr>
          <w:p w14:paraId="21CD205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cs="宋体"/>
                <w:snapToGrid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首页导航栏新增“同科室不同月份分析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功能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”，通过图表等形式直观呈现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科室不同月份的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数据；</w:t>
            </w:r>
          </w:p>
        </w:tc>
      </w:tr>
      <w:tr w14:paraId="7095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vAlign w:val="center"/>
          </w:tcPr>
          <w:p w14:paraId="14A0CEE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1C3ECE5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9" w:type="dxa"/>
            <w:vAlign w:val="center"/>
          </w:tcPr>
          <w:p w14:paraId="14C6EA8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新增绩效明细检索功能</w:t>
            </w:r>
          </w:p>
        </w:tc>
        <w:tc>
          <w:tcPr>
            <w:tcW w:w="5236" w:type="dxa"/>
            <w:vAlign w:val="center"/>
          </w:tcPr>
          <w:p w14:paraId="2546A32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新增工作量绩效项目明细检索查询功能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1689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vAlign w:val="center"/>
          </w:tcPr>
          <w:p w14:paraId="6F83DF7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3D72C22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9" w:type="dxa"/>
            <w:vAlign w:val="center"/>
          </w:tcPr>
          <w:p w14:paraId="433FA1F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新增自定义指标核算功能</w:t>
            </w:r>
          </w:p>
        </w:tc>
        <w:tc>
          <w:tcPr>
            <w:tcW w:w="5236" w:type="dxa"/>
            <w:vAlign w:val="center"/>
          </w:tcPr>
          <w:p w14:paraId="1A8474D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支持用户自定义指标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系统</w:t>
            </w:r>
            <w:r>
              <w:rPr>
                <w:rFonts w:hint="eastAsia"/>
                <w:color w:val="000000"/>
                <w:kern w:val="0"/>
                <w:sz w:val="24"/>
              </w:rPr>
              <w:t>完成该指标的计算并应用于绩效核算。</w:t>
            </w:r>
          </w:p>
        </w:tc>
      </w:tr>
      <w:tr w14:paraId="164A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Merge w:val="continue"/>
            <w:vAlign w:val="center"/>
          </w:tcPr>
          <w:p w14:paraId="5550E28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vAlign w:val="center"/>
          </w:tcPr>
          <w:p w14:paraId="71F904E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9" w:type="dxa"/>
            <w:vAlign w:val="center"/>
          </w:tcPr>
          <w:p w14:paraId="53C6539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新增关键数据回顾性分析和关键工作量点值测算功能</w:t>
            </w:r>
          </w:p>
        </w:tc>
        <w:tc>
          <w:tcPr>
            <w:tcW w:w="5236" w:type="dxa"/>
            <w:vAlign w:val="center"/>
          </w:tcPr>
          <w:p w14:paraId="29001BD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/>
              <w:jc w:val="left"/>
              <w:textAlignment w:val="baseline"/>
              <w:rPr>
                <w:rFonts w:hint="default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新增关键数据回顾性分析和关键工作量点值计算功能，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可分类显示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科室不同月份的关键项目指标以及分值数据</w:t>
            </w:r>
            <w:r>
              <w:rPr>
                <w:rFonts w:hint="eastAsia" w:ascii="宋体" w:hAnsi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 w14:paraId="7884A98C">
      <w:pPr>
        <w:pStyle w:val="2"/>
        <w:pageBreakBefore w:val="0"/>
        <w:wordWrap/>
        <w:overflowPunct/>
        <w:topLinePunct w:val="0"/>
        <w:bidi w:val="0"/>
        <w:spacing w:before="0" w:beforeLines="0" w:after="0" w:afterLines="0" w:line="360" w:lineRule="auto"/>
        <w:ind w:left="0" w:leftChars="0" w:right="0" w:firstLine="482" w:firstLineChars="200"/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  <w:t>六、安全保障</w:t>
      </w:r>
    </w:p>
    <w:p w14:paraId="569D1BA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（一）本次项目遵循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</w:rPr>
        <w:t>《中华人民共和国数据安全法》、《中华人民共和国网络安全法》、《中国人民共和国个人信息保护法》等标准规范文件要求进行建设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eastAsia="zh-CN"/>
        </w:rPr>
        <w:t>。</w:t>
      </w:r>
    </w:p>
    <w:p w14:paraId="7C0642B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firstLine="480" w:firstLineChars="200"/>
        <w:textAlignment w:val="auto"/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highlight w:val="none"/>
          <w:lang w:val="en-US" w:eastAsia="zh-CN"/>
        </w:rPr>
        <w:t>（二）乙方承诺，本次项目所交付的产品满足信息安全相关要求，且交付产品无软件缺陷和漏洞，如后续乙方产品被检出信息安全、软件缺陷和漏洞等相关问题，乙方终身无条件配合甲方进行整改，且整改费用已经包含在本项目金额内，乙方不再另行收费。</w:t>
      </w:r>
    </w:p>
    <w:p w14:paraId="00D54502">
      <w:pPr>
        <w:pStyle w:val="2"/>
        <w:pageBreakBefore w:val="0"/>
        <w:wordWrap/>
        <w:overflowPunct/>
        <w:topLinePunct w:val="0"/>
        <w:bidi w:val="0"/>
        <w:spacing w:before="0" w:beforeLines="0" w:after="0" w:afterLines="0" w:line="360" w:lineRule="auto"/>
        <w:ind w:left="0" w:leftChars="0" w:right="0" w:firstLine="482" w:firstLineChars="200"/>
        <w:rPr>
          <w:rFonts w:hint="default" w:asciiTheme="minorHAnsi" w:hAnsiTheme="minorHAnsi" w:eastAsiaTheme="minorEastAsia" w:cstheme="minorBidi"/>
          <w:b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  <w:t>七、验收及付款</w:t>
      </w:r>
    </w:p>
    <w:p w14:paraId="619DA4A2">
      <w:pPr>
        <w:kinsoku w:val="0"/>
        <w:autoSpaceDE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绩效管理系统升级改造建设内容完成后，乙方书面向甲方提交预验收申请及相关文档，经甲方相关部门验收合格后，凭乙方提供的正式有效的含税发票，甲方办理相关手续后，全额支付绩效管理系统升级改造服务部分合同款项。</w:t>
      </w:r>
    </w:p>
    <w:p w14:paraId="38B24A0B">
      <w:pPr>
        <w:kinsoku w:val="0"/>
        <w:autoSpaceDE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运维服务期满后，甲方相关部门对乙方运维服务进行评价（评价表详见附件1），评价为合格后凭中标人提供的正式含税发票，采购人办理相关手续后，支付剩余合同款；</w:t>
      </w:r>
    </w:p>
    <w:p w14:paraId="3FF243CA">
      <w:pPr>
        <w:kinsoku w:val="0"/>
        <w:autoSpaceDE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default" w:asciiTheme="minorHAnsi" w:hAnsiTheme="minorHAnsi" w:eastAsiaTheme="minorEastAsia" w:cstheme="minorBidi"/>
          <w:sz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24"/>
          <w:lang w:val="en-US" w:eastAsia="zh-CN"/>
        </w:rPr>
        <w:t>投标人</w:t>
      </w:r>
      <w:r>
        <w:rPr>
          <w:rFonts w:hint="eastAsia" w:cstheme="minorBidi"/>
          <w:sz w:val="24"/>
          <w:lang w:val="en-US" w:eastAsia="zh-CN"/>
        </w:rPr>
        <w:t>运维</w:t>
      </w:r>
      <w:r>
        <w:rPr>
          <w:rFonts w:hint="eastAsia" w:asciiTheme="minorHAnsi" w:hAnsiTheme="minorHAnsi" w:eastAsiaTheme="minorEastAsia" w:cstheme="minorBidi"/>
          <w:sz w:val="24"/>
          <w:lang w:val="en-US" w:eastAsia="zh-CN"/>
        </w:rPr>
        <w:t>服务不达标，采购人有权拒付或减值支付</w:t>
      </w:r>
      <w:r>
        <w:rPr>
          <w:rFonts w:hint="eastAsia" w:ascii="Times New Roman" w:hAnsi="Times New Roman" w:eastAsia="宋体" w:cs="Times New Roman"/>
          <w:sz w:val="24"/>
          <w:szCs w:val="24"/>
        </w:rPr>
        <w:t>绩效管理系统运维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服务</w:t>
      </w:r>
      <w:r>
        <w:rPr>
          <w:rFonts w:hint="eastAsia" w:asciiTheme="minorHAnsi" w:hAnsiTheme="minorHAnsi" w:eastAsiaTheme="minorEastAsia" w:cstheme="minorBidi"/>
          <w:sz w:val="24"/>
          <w:lang w:val="en-US" w:eastAsia="zh-CN"/>
        </w:rPr>
        <w:t>合同款项。</w:t>
      </w:r>
    </w:p>
    <w:p w14:paraId="141A131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40" w:lineRule="atLeast"/>
        <w:ind w:left="0" w:right="0" w:firstLine="475"/>
        <w:jc w:val="both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运维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服务评价结果为优秀，全额支付</w:t>
      </w:r>
      <w:r>
        <w:rPr>
          <w:rFonts w:hint="eastAsia" w:ascii="Times New Roman" w:hAnsi="Times New Roman" w:eastAsia="宋体" w:cs="Times New Roman"/>
          <w:sz w:val="24"/>
          <w:szCs w:val="24"/>
        </w:rPr>
        <w:t>绩效管理系统运维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服务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合同款；</w:t>
      </w:r>
    </w:p>
    <w:p w14:paraId="03E2A5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40" w:lineRule="atLeast"/>
        <w:ind w:left="0" w:right="0" w:firstLine="475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运维服务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评价结果为良好，支付85%</w:t>
      </w:r>
      <w:r>
        <w:rPr>
          <w:rFonts w:hint="eastAsia" w:ascii="Times New Roman" w:hAnsi="Times New Roman" w:eastAsia="宋体" w:cs="Times New Roman"/>
          <w:sz w:val="24"/>
          <w:szCs w:val="24"/>
        </w:rPr>
        <w:t>绩效管理系统运维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服务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合同款；</w:t>
      </w:r>
    </w:p>
    <w:p w14:paraId="4702EFD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40" w:lineRule="atLeast"/>
        <w:ind w:left="0" w:right="0" w:firstLine="475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运维服务评价结果为合格，支付70%</w:t>
      </w:r>
      <w:r>
        <w:rPr>
          <w:rFonts w:hint="eastAsia" w:ascii="Times New Roman" w:hAnsi="Times New Roman" w:eastAsia="宋体" w:cs="Times New Roman"/>
          <w:sz w:val="24"/>
          <w:szCs w:val="24"/>
        </w:rPr>
        <w:t>绩效管理系统运维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合同款；</w:t>
      </w:r>
    </w:p>
    <w:p w14:paraId="3ED96F2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40" w:lineRule="atLeast"/>
        <w:ind w:left="0" w:right="0" w:firstLine="475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运维评价结果为不合格，甲方有权拒付</w:t>
      </w:r>
      <w:r>
        <w:rPr>
          <w:rFonts w:hint="eastAsia" w:ascii="Times New Roman" w:hAnsi="Times New Roman" w:eastAsia="宋体" w:cs="Times New Roman"/>
          <w:sz w:val="24"/>
          <w:szCs w:val="24"/>
        </w:rPr>
        <w:t>绩效管理系统运维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合同款。</w:t>
      </w:r>
    </w:p>
    <w:p w14:paraId="0267A168">
      <w:pP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br w:type="page"/>
      </w:r>
    </w:p>
    <w:p w14:paraId="4E43B37E">
      <w:pPr>
        <w:bidi w:val="0"/>
        <w:jc w:val="left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  <w:t>附件1：</w:t>
      </w:r>
    </w:p>
    <w:p w14:paraId="486F263B">
      <w:pPr>
        <w:bidi w:val="0"/>
        <w:jc w:val="center"/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  <w:t>海南医科大学第二附属医院</w:t>
      </w:r>
    </w:p>
    <w:p w14:paraId="1C4D253D">
      <w:pPr>
        <w:bidi w:val="0"/>
        <w:jc w:val="center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 w:bidi="ar"/>
        </w:rPr>
        <w:t>绩效管理系统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  <w:t>运维服务评价表</w:t>
      </w:r>
    </w:p>
    <w:tbl>
      <w:tblPr>
        <w:tblStyle w:val="8"/>
        <w:tblW w:w="89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03"/>
        <w:gridCol w:w="1288"/>
        <w:gridCol w:w="6259"/>
      </w:tblGrid>
      <w:tr w14:paraId="04566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25" w:type="dxa"/>
            <w:gridSpan w:val="2"/>
            <w:vAlign w:val="center"/>
          </w:tcPr>
          <w:p w14:paraId="00A0A7A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承建供应商</w:t>
            </w:r>
          </w:p>
        </w:tc>
        <w:tc>
          <w:tcPr>
            <w:tcW w:w="7547" w:type="dxa"/>
            <w:gridSpan w:val="2"/>
            <w:vAlign w:val="center"/>
          </w:tcPr>
          <w:p w14:paraId="3B53A64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9377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8972" w:type="dxa"/>
            <w:gridSpan w:val="4"/>
            <w:vAlign w:val="center"/>
          </w:tcPr>
          <w:p w14:paraId="3117C16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分规则：本评价表10个评分项，每个评分项0~10分，满分合计100分。各评分项得分合计≤70，本项目维保服务不合格，不予支付绩效管理系统运维服务合同价款；70＜各评分项得分合计≤80，项目维保服务合格，支付70%绩效管理系统运维服务合同价款；80＜各评分项得分合计≤90，维保服务良好，支付85%绩效管理系统运维服务合同价款；90＜各评分项得分合计≤100，维保服务优秀，支付100%绩效管理系统运维服务合同款项；</w:t>
            </w:r>
          </w:p>
        </w:tc>
      </w:tr>
      <w:tr w14:paraId="1F4524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22" w:type="dxa"/>
            <w:vAlign w:val="center"/>
          </w:tcPr>
          <w:p w14:paraId="1C75CC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91" w:type="dxa"/>
            <w:gridSpan w:val="2"/>
            <w:vAlign w:val="center"/>
          </w:tcPr>
          <w:p w14:paraId="74CCBB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评价维度</w:t>
            </w:r>
          </w:p>
        </w:tc>
        <w:tc>
          <w:tcPr>
            <w:tcW w:w="6259" w:type="dxa"/>
          </w:tcPr>
          <w:p w14:paraId="583427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各评分项0~10分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 w14:paraId="50C500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22" w:type="dxa"/>
            <w:vAlign w:val="top"/>
          </w:tcPr>
          <w:p w14:paraId="75963B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91" w:type="dxa"/>
            <w:gridSpan w:val="2"/>
            <w:vAlign w:val="top"/>
          </w:tcPr>
          <w:p w14:paraId="4C8286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系统安全性</w:t>
            </w:r>
          </w:p>
        </w:tc>
        <w:tc>
          <w:tcPr>
            <w:tcW w:w="6259" w:type="dxa"/>
            <w:vAlign w:val="top"/>
          </w:tcPr>
          <w:p w14:paraId="222275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2B98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22" w:type="dxa"/>
            <w:vAlign w:val="top"/>
          </w:tcPr>
          <w:p w14:paraId="41513F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91" w:type="dxa"/>
            <w:gridSpan w:val="2"/>
            <w:vAlign w:val="top"/>
          </w:tcPr>
          <w:p w14:paraId="775B0C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系统稳定性</w:t>
            </w:r>
          </w:p>
        </w:tc>
        <w:tc>
          <w:tcPr>
            <w:tcW w:w="6259" w:type="dxa"/>
            <w:vAlign w:val="top"/>
          </w:tcPr>
          <w:p w14:paraId="6C86BB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D99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22" w:type="dxa"/>
            <w:vAlign w:val="top"/>
          </w:tcPr>
          <w:p w14:paraId="4C0FFD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91" w:type="dxa"/>
            <w:gridSpan w:val="2"/>
            <w:vAlign w:val="top"/>
          </w:tcPr>
          <w:p w14:paraId="0DCD4D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系统流畅性</w:t>
            </w:r>
          </w:p>
        </w:tc>
        <w:tc>
          <w:tcPr>
            <w:tcW w:w="6259" w:type="dxa"/>
            <w:vAlign w:val="top"/>
          </w:tcPr>
          <w:p w14:paraId="657FD8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61B8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22" w:type="dxa"/>
            <w:vAlign w:val="top"/>
          </w:tcPr>
          <w:p w14:paraId="4AB89A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1" w:type="dxa"/>
            <w:gridSpan w:val="2"/>
            <w:vAlign w:val="top"/>
          </w:tcPr>
          <w:p w14:paraId="7BE511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系统连续性</w:t>
            </w:r>
          </w:p>
        </w:tc>
        <w:tc>
          <w:tcPr>
            <w:tcW w:w="6259" w:type="dxa"/>
            <w:vAlign w:val="top"/>
          </w:tcPr>
          <w:p w14:paraId="247ED9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D2C2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22" w:type="dxa"/>
            <w:vAlign w:val="top"/>
          </w:tcPr>
          <w:p w14:paraId="561367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91" w:type="dxa"/>
            <w:gridSpan w:val="2"/>
            <w:vAlign w:val="top"/>
          </w:tcPr>
          <w:p w14:paraId="50B9D9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平均无故障时间</w:t>
            </w:r>
          </w:p>
        </w:tc>
        <w:tc>
          <w:tcPr>
            <w:tcW w:w="6259" w:type="dxa"/>
            <w:vAlign w:val="top"/>
          </w:tcPr>
          <w:p w14:paraId="05B675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79E9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22" w:type="dxa"/>
            <w:vAlign w:val="top"/>
          </w:tcPr>
          <w:p w14:paraId="7F572EC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1" w:type="dxa"/>
            <w:gridSpan w:val="2"/>
            <w:vAlign w:val="top"/>
          </w:tcPr>
          <w:p w14:paraId="4E018A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故障响应时间</w:t>
            </w:r>
          </w:p>
        </w:tc>
        <w:tc>
          <w:tcPr>
            <w:tcW w:w="6259" w:type="dxa"/>
            <w:vAlign w:val="top"/>
          </w:tcPr>
          <w:p w14:paraId="0B1D15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EC26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22" w:type="dxa"/>
            <w:vAlign w:val="top"/>
          </w:tcPr>
          <w:p w14:paraId="306C7A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91" w:type="dxa"/>
            <w:gridSpan w:val="2"/>
            <w:vAlign w:val="top"/>
          </w:tcPr>
          <w:p w14:paraId="2CA048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故障恢复速度</w:t>
            </w:r>
          </w:p>
        </w:tc>
        <w:tc>
          <w:tcPr>
            <w:tcW w:w="6259" w:type="dxa"/>
            <w:vAlign w:val="top"/>
          </w:tcPr>
          <w:p w14:paraId="7840EE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46CD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22" w:type="dxa"/>
            <w:vAlign w:val="top"/>
          </w:tcPr>
          <w:p w14:paraId="69A879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91" w:type="dxa"/>
            <w:gridSpan w:val="2"/>
            <w:vAlign w:val="top"/>
          </w:tcPr>
          <w:p w14:paraId="65CCB5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故障改进评价</w:t>
            </w:r>
          </w:p>
        </w:tc>
        <w:tc>
          <w:tcPr>
            <w:tcW w:w="6259" w:type="dxa"/>
            <w:vAlign w:val="top"/>
          </w:tcPr>
          <w:p w14:paraId="16D9D2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CF65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22" w:type="dxa"/>
            <w:vAlign w:val="top"/>
          </w:tcPr>
          <w:p w14:paraId="44E26D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991" w:type="dxa"/>
            <w:gridSpan w:val="2"/>
            <w:vAlign w:val="top"/>
          </w:tcPr>
          <w:p w14:paraId="056803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系统日常维护</w:t>
            </w:r>
          </w:p>
        </w:tc>
        <w:tc>
          <w:tcPr>
            <w:tcW w:w="6259" w:type="dxa"/>
            <w:vAlign w:val="top"/>
          </w:tcPr>
          <w:p w14:paraId="1FF00C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6EA1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22" w:type="dxa"/>
            <w:vAlign w:val="top"/>
          </w:tcPr>
          <w:p w14:paraId="23B825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991" w:type="dxa"/>
            <w:gridSpan w:val="2"/>
            <w:vAlign w:val="top"/>
          </w:tcPr>
          <w:p w14:paraId="3AC576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日常需求响应</w:t>
            </w:r>
          </w:p>
        </w:tc>
        <w:tc>
          <w:tcPr>
            <w:tcW w:w="6259" w:type="dxa"/>
            <w:vAlign w:val="top"/>
          </w:tcPr>
          <w:p w14:paraId="5F70A2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5B3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713" w:type="dxa"/>
            <w:gridSpan w:val="3"/>
            <w:vAlign w:val="top"/>
          </w:tcPr>
          <w:p w14:paraId="3B561D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259" w:type="dxa"/>
            <w:vAlign w:val="top"/>
          </w:tcPr>
          <w:p w14:paraId="321037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FC0A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8972" w:type="dxa"/>
            <w:gridSpan w:val="4"/>
          </w:tcPr>
          <w:p w14:paraId="06D5C17C">
            <w:pPr>
              <w:pStyle w:val="3"/>
              <w:widowControl w:val="0"/>
              <w:spacing w:before="87"/>
              <w:ind w:lef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评价意见：</w:t>
            </w:r>
          </w:p>
          <w:p w14:paraId="0FE5E11E">
            <w:pPr>
              <w:pStyle w:val="3"/>
              <w:widowControl w:val="0"/>
              <w:spacing w:before="87"/>
              <w:ind w:lef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6D17ACF">
            <w:pPr>
              <w:pStyle w:val="3"/>
              <w:widowControl w:val="0"/>
              <w:spacing w:before="87"/>
              <w:ind w:lef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A18C02A">
            <w:pPr>
              <w:pStyle w:val="3"/>
              <w:widowControl w:val="0"/>
              <w:spacing w:before="87"/>
              <w:ind w:lef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F07F44C">
            <w:pPr>
              <w:pStyle w:val="3"/>
              <w:widowControl w:val="0"/>
              <w:spacing w:before="87"/>
              <w:ind w:lef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A4C85B7">
            <w:pPr>
              <w:pStyle w:val="3"/>
              <w:widowControl w:val="0"/>
              <w:spacing w:before="87"/>
              <w:ind w:lef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0897FD3">
            <w:pPr>
              <w:pStyle w:val="3"/>
              <w:widowControl w:val="0"/>
              <w:spacing w:before="87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4E0694A0">
            <w:pPr>
              <w:pStyle w:val="3"/>
              <w:widowControl w:val="0"/>
              <w:spacing w:before="8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日期：      年    月    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</w:t>
            </w:r>
          </w:p>
        </w:tc>
      </w:tr>
    </w:tbl>
    <w:p w14:paraId="101B9F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2190B"/>
    <w:rsid w:val="002A030F"/>
    <w:rsid w:val="09042092"/>
    <w:rsid w:val="181D2B9D"/>
    <w:rsid w:val="18FE560D"/>
    <w:rsid w:val="1AEE0821"/>
    <w:rsid w:val="1D4E37F9"/>
    <w:rsid w:val="22743D02"/>
    <w:rsid w:val="22E2190B"/>
    <w:rsid w:val="27BA5D13"/>
    <w:rsid w:val="2E7A5513"/>
    <w:rsid w:val="2F7A243F"/>
    <w:rsid w:val="319A1811"/>
    <w:rsid w:val="32BA113B"/>
    <w:rsid w:val="332558C9"/>
    <w:rsid w:val="336B1A39"/>
    <w:rsid w:val="36F80606"/>
    <w:rsid w:val="383513E6"/>
    <w:rsid w:val="395C5344"/>
    <w:rsid w:val="3B867F31"/>
    <w:rsid w:val="3C6E5DDF"/>
    <w:rsid w:val="3DCB0822"/>
    <w:rsid w:val="3DDD0555"/>
    <w:rsid w:val="3EC040FF"/>
    <w:rsid w:val="41DD0B24"/>
    <w:rsid w:val="43574906"/>
    <w:rsid w:val="43F63E14"/>
    <w:rsid w:val="44154E24"/>
    <w:rsid w:val="45F93B7A"/>
    <w:rsid w:val="4BFA0524"/>
    <w:rsid w:val="58BA3515"/>
    <w:rsid w:val="6082719B"/>
    <w:rsid w:val="60C31295"/>
    <w:rsid w:val="62892B95"/>
    <w:rsid w:val="641A755E"/>
    <w:rsid w:val="64682077"/>
    <w:rsid w:val="68C4727A"/>
    <w:rsid w:val="69605A13"/>
    <w:rsid w:val="6B861311"/>
    <w:rsid w:val="6E535B46"/>
    <w:rsid w:val="70673B2B"/>
    <w:rsid w:val="72D51BFB"/>
    <w:rsid w:val="76CA086F"/>
    <w:rsid w:val="786A240A"/>
    <w:rsid w:val="79D57D57"/>
    <w:rsid w:val="7B005740"/>
    <w:rsid w:val="7D893333"/>
    <w:rsid w:val="7FE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Arial" w:hAnsi="Arial" w:cs="Arial"/>
      <w:snapToGrid/>
      <w:color w:val="000000"/>
      <w:kern w:val="0"/>
      <w:sz w:val="21"/>
      <w:szCs w:val="21"/>
      <w:lang w:val="en-US" w:eastAsia="zh-CN" w:bidi="ar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widowControl/>
      <w:spacing w:before="60" w:beforeLines="0" w:after="60" w:afterLines="0" w:line="280" w:lineRule="atLeast"/>
      <w:ind w:right="291" w:firstLine="400"/>
    </w:pPr>
    <w:rPr>
      <w:rFonts w:ascii="宋体"/>
      <w:kern w:val="0"/>
    </w:rPr>
  </w:style>
  <w:style w:type="paragraph" w:styleId="6">
    <w:name w:val="Normal (Web)"/>
    <w:basedOn w:val="1"/>
    <w:qFormat/>
    <w:uiPriority w:val="0"/>
    <w:pPr>
      <w:kinsoku/>
      <w:autoSpaceDE/>
      <w:autoSpaceDN/>
      <w:adjustRightInd/>
      <w:snapToGrid/>
      <w:spacing w:before="0" w:beforeAutospacing="1" w:after="0" w:afterAutospacing="1"/>
      <w:ind w:left="0" w:right="0"/>
      <w:jc w:val="left"/>
      <w:textAlignment w:val="auto"/>
    </w:pPr>
    <w:rPr>
      <w:rFonts w:ascii="宋体" w:hAnsi="宋体" w:cs="宋体"/>
      <w:snapToGrid/>
      <w:color w:val="auto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楷体粗正文文字"/>
    <w:basedOn w:val="1"/>
    <w:next w:val="5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 w:line="480" w:lineRule="exact"/>
      <w:ind w:left="0" w:right="0" w:firstLine="560" w:firstLineChars="0"/>
      <w:jc w:val="left"/>
      <w:textAlignment w:val="baseline"/>
    </w:pPr>
    <w:rPr>
      <w:rFonts w:hint="default" w:ascii="Arial" w:hAnsi="Arial" w:cs="Arial"/>
      <w:snapToGrid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2293</Words>
  <Characters>2369</Characters>
  <Lines>0</Lines>
  <Paragraphs>0</Paragraphs>
  <TotalTime>8</TotalTime>
  <ScaleCrop>false</ScaleCrop>
  <LinksUpToDate>false</LinksUpToDate>
  <CharactersWithSpaces>2472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2025-03-17T02:26:00Z</dcterms:created>
  <dc:creator></dc:creator>
  <cp:lastModifiedBy></cp:lastModifiedBy>
  <dcterms:modified xsi:type="dcterms:W3CDTF">2025-09-24T09:07:11Z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A3F299CE1CBD4FCD8E282DC76C40E267_13</vt:lpwstr>
  </property>
  <property fmtid="{D5CDD505-2E9C-101B-9397-08002B2CF9AE}" pid="4" name="KSOTemplateDocerSaveRecord">
    <vt:lpwstr>eyJoZGlkIjoiZWEzMjBkYzQ0YmNjYTVmYzc4NDMzYjZjZGZiNjUyOTEiLCJ1c2VySWQiOiI2NjI1OTUwNjcifQ==</vt:lpwstr>
  </property>
</Properties>
</file>