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Times New Roman"/>
          <w:sz w:val="36"/>
          <w:szCs w:val="36"/>
        </w:rPr>
      </w:pPr>
    </w:p>
    <w:p>
      <w:pPr>
        <w:spacing w:line="360" w:lineRule="auto"/>
        <w:jc w:val="center"/>
        <w:rPr>
          <w:rFonts w:hint="eastAsia" w:ascii="宋体" w:hAnsi="宋体" w:eastAsia="宋体" w:cs="Times New Roman"/>
          <w:sz w:val="36"/>
          <w:szCs w:val="36"/>
        </w:rPr>
      </w:pPr>
    </w:p>
    <w:p>
      <w:pPr>
        <w:spacing w:line="360" w:lineRule="auto"/>
        <w:rPr>
          <w:rFonts w:hint="eastAsia" w:ascii="宋体" w:hAnsi="宋体" w:eastAsia="宋体" w:cs="Times New Roman"/>
          <w:sz w:val="36"/>
          <w:szCs w:val="36"/>
        </w:rPr>
      </w:pPr>
    </w:p>
    <w:p>
      <w:pPr>
        <w:spacing w:line="360" w:lineRule="auto"/>
        <w:jc w:val="center"/>
        <w:rPr>
          <w:rFonts w:hint="eastAsia" w:ascii="宋体" w:hAnsi="宋体" w:eastAsia="宋体" w:cs="Times New Roman"/>
          <w:sz w:val="36"/>
          <w:szCs w:val="36"/>
        </w:rPr>
      </w:pPr>
    </w:p>
    <w:p>
      <w:pPr>
        <w:spacing w:line="360" w:lineRule="auto"/>
        <w:jc w:val="center"/>
        <w:rPr>
          <w:rFonts w:hint="eastAsia" w:ascii="宋体" w:hAnsi="宋体" w:eastAsia="宋体" w:cs="Times New Roman"/>
          <w:b/>
          <w:bCs/>
          <w:sz w:val="48"/>
          <w:szCs w:val="36"/>
        </w:rPr>
      </w:pPr>
      <w:r>
        <w:rPr>
          <w:rFonts w:hint="eastAsia" w:ascii="宋体" w:hAnsi="宋体" w:eastAsia="宋体" w:cs="Times New Roman"/>
          <w:b/>
          <w:bCs/>
          <w:sz w:val="48"/>
          <w:szCs w:val="36"/>
        </w:rPr>
        <w:t>海南医科大学第二附属医院</w:t>
      </w:r>
    </w:p>
    <w:p>
      <w:pPr>
        <w:spacing w:line="360" w:lineRule="auto"/>
        <w:jc w:val="center"/>
        <w:rPr>
          <w:rFonts w:hint="eastAsia" w:ascii="宋体" w:hAnsi="宋体" w:eastAsia="宋体" w:cs="Times New Roman"/>
          <w:b/>
          <w:bCs/>
          <w:sz w:val="48"/>
          <w:szCs w:val="36"/>
        </w:rPr>
      </w:pPr>
      <w:r>
        <w:rPr>
          <w:rFonts w:hint="eastAsia" w:ascii="宋体" w:hAnsi="宋体" w:eastAsia="宋体" w:cs="Times New Roman"/>
          <w:b/>
          <w:bCs/>
          <w:sz w:val="48"/>
          <w:szCs w:val="36"/>
        </w:rPr>
        <w:t>数据存储设备维保服务采购需求</w:t>
      </w:r>
    </w:p>
    <w:p>
      <w:pPr>
        <w:spacing w:line="360" w:lineRule="auto"/>
        <w:jc w:val="center"/>
        <w:rPr>
          <w:rFonts w:hint="eastAsia" w:ascii="宋体" w:hAnsi="宋体" w:eastAsia="宋体" w:cs="Times New Roman"/>
          <w:b/>
          <w:bCs/>
          <w:sz w:val="48"/>
          <w:szCs w:val="36"/>
        </w:rPr>
      </w:pP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p>
    <w:tbl>
      <w:tblPr>
        <w:tblStyle w:val="27"/>
        <w:tblW w:w="7920" w:type="dxa"/>
        <w:jc w:val="center"/>
        <w:tblInd w:w="0" w:type="dxa"/>
        <w:tblLayout w:type="fixed"/>
        <w:tblCellMar>
          <w:top w:w="0" w:type="dxa"/>
          <w:left w:w="0" w:type="dxa"/>
          <w:bottom w:w="0" w:type="dxa"/>
          <w:right w:w="0" w:type="dxa"/>
        </w:tblCellMar>
      </w:tblPr>
      <w:tblGrid>
        <w:gridCol w:w="2827"/>
        <w:gridCol w:w="5093"/>
      </w:tblGrid>
      <w:tr>
        <w:tblPrEx>
          <w:tblLayout w:type="fixed"/>
          <w:tblCellMar>
            <w:top w:w="0" w:type="dxa"/>
            <w:left w:w="0" w:type="dxa"/>
            <w:bottom w:w="0" w:type="dxa"/>
            <w:right w:w="0" w:type="dxa"/>
          </w:tblCellMar>
        </w:tblPrEx>
        <w:trPr>
          <w:trHeight w:val="900" w:hRule="atLeast"/>
          <w:jc w:val="center"/>
        </w:trPr>
        <w:tc>
          <w:tcPr>
            <w:tcW w:w="2827"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ind w:left="525" w:hanging="525"/>
              <w:jc w:val="center"/>
              <w:rPr>
                <w:rFonts w:ascii="Times New Roman" w:hAnsi="Times New Roman" w:eastAsia="宋体" w:cs="Times New Roman"/>
                <w:b/>
                <w:bCs/>
                <w:spacing w:val="20"/>
                <w:sz w:val="24"/>
                <w:szCs w:val="24"/>
              </w:rPr>
            </w:pPr>
            <w:r>
              <w:rPr>
                <w:rFonts w:hint="eastAsia" w:ascii="黑体" w:hAnsi="黑体" w:eastAsia="黑体" w:cs="Times New Roman"/>
                <w:b/>
                <w:bCs/>
                <w:spacing w:val="20"/>
                <w:sz w:val="24"/>
                <w:szCs w:val="24"/>
              </w:rPr>
              <w:t>起草</w:t>
            </w:r>
          </w:p>
        </w:tc>
        <w:tc>
          <w:tcPr>
            <w:tcW w:w="509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400" w:lineRule="exact"/>
              <w:rPr>
                <w:rFonts w:ascii="Times New Roman" w:hAnsi="Times New Roman" w:eastAsia="宋体" w:cs="Times New Roman"/>
                <w:spacing w:val="20"/>
                <w:sz w:val="24"/>
                <w:szCs w:val="24"/>
              </w:rPr>
            </w:pPr>
          </w:p>
        </w:tc>
      </w:tr>
      <w:tr>
        <w:tblPrEx>
          <w:tblLayout w:type="fixed"/>
          <w:tblCellMar>
            <w:top w:w="0" w:type="dxa"/>
            <w:left w:w="0" w:type="dxa"/>
            <w:bottom w:w="0" w:type="dxa"/>
            <w:right w:w="0" w:type="dxa"/>
          </w:tblCellMar>
        </w:tblPrEx>
        <w:trPr>
          <w:trHeight w:val="755" w:hRule="atLeast"/>
          <w:jc w:val="center"/>
        </w:trPr>
        <w:tc>
          <w:tcPr>
            <w:tcW w:w="282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ind w:left="525" w:hanging="525"/>
              <w:jc w:val="center"/>
              <w:rPr>
                <w:rFonts w:ascii="Times New Roman" w:hAnsi="Times New Roman" w:eastAsia="宋体" w:cs="Times New Roman"/>
                <w:b/>
                <w:bCs/>
                <w:spacing w:val="20"/>
                <w:sz w:val="24"/>
                <w:szCs w:val="24"/>
              </w:rPr>
            </w:pPr>
            <w:r>
              <w:rPr>
                <w:rFonts w:hint="eastAsia" w:ascii="黑体" w:hAnsi="黑体" w:eastAsia="黑体" w:cs="Times New Roman"/>
                <w:b/>
                <w:bCs/>
                <w:spacing w:val="20"/>
                <w:sz w:val="24"/>
                <w:szCs w:val="24"/>
              </w:rPr>
              <w:t>校核</w:t>
            </w:r>
          </w:p>
        </w:tc>
        <w:tc>
          <w:tcPr>
            <w:tcW w:w="50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rPr>
                <w:rFonts w:ascii="Times New Roman" w:hAnsi="Times New Roman" w:eastAsia="宋体" w:cs="Times New Roman"/>
                <w:spacing w:val="20"/>
                <w:sz w:val="24"/>
                <w:szCs w:val="24"/>
              </w:rPr>
            </w:pPr>
          </w:p>
        </w:tc>
      </w:tr>
      <w:tr>
        <w:tblPrEx>
          <w:tblLayout w:type="fixed"/>
          <w:tblCellMar>
            <w:top w:w="0" w:type="dxa"/>
            <w:left w:w="0" w:type="dxa"/>
            <w:bottom w:w="0" w:type="dxa"/>
            <w:right w:w="0" w:type="dxa"/>
          </w:tblCellMar>
        </w:tblPrEx>
        <w:trPr>
          <w:trHeight w:val="755" w:hRule="atLeast"/>
          <w:jc w:val="center"/>
        </w:trPr>
        <w:tc>
          <w:tcPr>
            <w:tcW w:w="282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ind w:left="525" w:hanging="525"/>
              <w:jc w:val="center"/>
              <w:rPr>
                <w:rFonts w:ascii="Times New Roman" w:hAnsi="Times New Roman" w:eastAsia="宋体" w:cs="Times New Roman"/>
                <w:b/>
                <w:bCs/>
                <w:spacing w:val="20"/>
                <w:sz w:val="24"/>
                <w:szCs w:val="24"/>
              </w:rPr>
            </w:pPr>
            <w:r>
              <w:rPr>
                <w:rFonts w:hint="eastAsia" w:ascii="黑体" w:hAnsi="黑体" w:eastAsia="黑体" w:cs="Times New Roman"/>
                <w:b/>
                <w:bCs/>
                <w:spacing w:val="20"/>
                <w:sz w:val="24"/>
                <w:szCs w:val="24"/>
              </w:rPr>
              <w:t>审查</w:t>
            </w:r>
          </w:p>
        </w:tc>
        <w:tc>
          <w:tcPr>
            <w:tcW w:w="50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rPr>
                <w:rFonts w:ascii="Times New Roman" w:hAnsi="Times New Roman" w:eastAsia="宋体" w:cs="Times New Roman"/>
                <w:spacing w:val="20"/>
                <w:sz w:val="24"/>
                <w:szCs w:val="24"/>
              </w:rPr>
            </w:pPr>
          </w:p>
        </w:tc>
      </w:tr>
      <w:tr>
        <w:tblPrEx>
          <w:tblLayout w:type="fixed"/>
          <w:tblCellMar>
            <w:top w:w="0" w:type="dxa"/>
            <w:left w:w="0" w:type="dxa"/>
            <w:bottom w:w="0" w:type="dxa"/>
            <w:right w:w="0" w:type="dxa"/>
          </w:tblCellMar>
        </w:tblPrEx>
        <w:trPr>
          <w:trHeight w:val="778" w:hRule="atLeast"/>
          <w:jc w:val="center"/>
        </w:trPr>
        <w:tc>
          <w:tcPr>
            <w:tcW w:w="282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ind w:left="525" w:hanging="525"/>
              <w:jc w:val="center"/>
              <w:rPr>
                <w:rFonts w:ascii="Times New Roman" w:hAnsi="Times New Roman" w:eastAsia="宋体" w:cs="Times New Roman"/>
                <w:b/>
                <w:bCs/>
                <w:spacing w:val="20"/>
                <w:sz w:val="24"/>
                <w:szCs w:val="24"/>
              </w:rPr>
            </w:pPr>
            <w:r>
              <w:rPr>
                <w:rFonts w:hint="eastAsia" w:ascii="黑体" w:hAnsi="黑体" w:eastAsia="黑体" w:cs="Times New Roman"/>
                <w:b/>
                <w:bCs/>
                <w:spacing w:val="20"/>
                <w:sz w:val="24"/>
                <w:szCs w:val="24"/>
              </w:rPr>
              <w:t>批准</w:t>
            </w:r>
          </w:p>
        </w:tc>
        <w:tc>
          <w:tcPr>
            <w:tcW w:w="509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rPr>
                <w:rFonts w:hint="eastAsia" w:ascii="楷体_GB2312" w:hAnsi="楷体_GB2312" w:eastAsia="宋体" w:cs="Times New Roman"/>
                <w:spacing w:val="20"/>
                <w:sz w:val="24"/>
                <w:szCs w:val="24"/>
              </w:rPr>
            </w:pPr>
          </w:p>
        </w:tc>
      </w:tr>
    </w:tbl>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b/>
          <w:bCs/>
          <w:sz w:val="24"/>
          <w:szCs w:val="24"/>
        </w:rPr>
      </w:pPr>
      <w:r>
        <w:rPr>
          <w:rFonts w:hint="eastAsia" w:ascii="宋体" w:hAnsi="宋体" w:eastAsia="宋体" w:cs="Times New Roman"/>
          <w:b/>
          <w:bCs/>
          <w:sz w:val="24"/>
          <w:szCs w:val="24"/>
        </w:rPr>
        <w:t>2024年10月</w:t>
      </w:r>
    </w:p>
    <w:p>
      <w:pPr>
        <w:spacing w:line="360" w:lineRule="auto"/>
        <w:jc w:val="center"/>
        <w:rPr>
          <w:rFonts w:hint="eastAsia" w:ascii="宋体" w:hAnsi="宋体" w:eastAsia="宋体" w:cs="Times New Roman"/>
          <w:sz w:val="24"/>
          <w:szCs w:val="24"/>
        </w:rPr>
      </w:pPr>
    </w:p>
    <w:p>
      <w:pPr>
        <w:spacing w:line="360" w:lineRule="auto"/>
        <w:jc w:val="center"/>
        <w:rPr>
          <w:rFonts w:hint="eastAsia" w:ascii="宋体" w:hAnsi="宋体" w:eastAsia="宋体" w:cs="Times New Roman"/>
          <w:sz w:val="24"/>
          <w:szCs w:val="24"/>
        </w:rPr>
      </w:pPr>
    </w:p>
    <w:p>
      <w:pPr>
        <w:keepNext/>
        <w:numPr>
          <w:ilvl w:val="0"/>
          <w:numId w:val="1"/>
        </w:numPr>
        <w:tabs>
          <w:tab w:val="left" w:pos="360"/>
        </w:tabs>
        <w:outlineLvl w:val="0"/>
        <w:rPr>
          <w:rFonts w:hint="eastAsia" w:ascii="宋体" w:hAnsi="宋体" w:eastAsia="宋体" w:cs="Times New Roman"/>
          <w:b/>
          <w:color w:val="000000"/>
          <w:sz w:val="28"/>
          <w:szCs w:val="28"/>
        </w:rPr>
      </w:pPr>
      <w:bookmarkStart w:id="0" w:name="_前言"/>
      <w:bookmarkEnd w:id="0"/>
      <w:r>
        <w:rPr>
          <w:rFonts w:hint="eastAsia" w:ascii="宋体" w:hAnsi="宋体" w:eastAsia="宋体" w:cs="Times New Roman"/>
          <w:b/>
          <w:color w:val="000000"/>
          <w:sz w:val="28"/>
          <w:szCs w:val="28"/>
        </w:rPr>
        <w:t>项目背景</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海南医科大学第二附属医院核心业务数据存储设备即将过保，本次采购清单中存设备为院内关键应用运行提供支撑，为了确保相关设备在出现故障时，能够较快的获得设备厂商的故障处理及技术支持服务，保证核心业务系统能够连续稳定运行，在出现故障时快速恢复可用，需购买相关数据存储设备的原厂维保服务。</w:t>
      </w:r>
    </w:p>
    <w:p>
      <w:pPr>
        <w:keepNext/>
        <w:numPr>
          <w:ilvl w:val="0"/>
          <w:numId w:val="1"/>
        </w:numPr>
        <w:tabs>
          <w:tab w:val="left" w:pos="360"/>
        </w:tabs>
        <w:outlineLvl w:val="0"/>
        <w:rPr>
          <w:rFonts w:hint="eastAsia" w:ascii="宋体" w:hAnsi="宋体" w:eastAsia="宋体" w:cs="Times New Roman"/>
          <w:b/>
          <w:color w:val="000000"/>
          <w:sz w:val="28"/>
          <w:szCs w:val="28"/>
        </w:rPr>
      </w:pPr>
      <w:r>
        <w:rPr>
          <w:rFonts w:hint="eastAsia" w:ascii="宋体" w:hAnsi="宋体" w:eastAsia="宋体" w:cs="Times New Roman"/>
          <w:b/>
          <w:color w:val="000000"/>
          <w:sz w:val="28"/>
          <w:szCs w:val="28"/>
        </w:rPr>
        <w:t>采购预算</w:t>
      </w:r>
    </w:p>
    <w:p>
      <w:pPr>
        <w:ind w:left="420"/>
        <w:rPr>
          <w:rFonts w:ascii="Times New Roman" w:hAnsi="Times New Roman" w:eastAsia="宋体" w:cs="Times New Roman"/>
          <w:sz w:val="28"/>
          <w:szCs w:val="28"/>
        </w:rPr>
      </w:pPr>
      <w:r>
        <w:rPr>
          <w:rFonts w:hint="eastAsia" w:ascii="Times New Roman" w:hAnsi="Times New Roman" w:eastAsia="宋体" w:cs="Times New Roman"/>
          <w:sz w:val="28"/>
          <w:szCs w:val="28"/>
        </w:rPr>
        <w:t>采购预算价：￥</w:t>
      </w:r>
      <w:r>
        <w:rPr>
          <w:rFonts w:hint="eastAsia" w:ascii="Times New Roman" w:hAnsi="Times New Roman" w:eastAsia="宋体" w:cs="Times New Roman"/>
          <w:sz w:val="28"/>
          <w:szCs w:val="28"/>
          <w:lang w:val="en-US" w:eastAsia="zh-CN"/>
        </w:rPr>
        <w:t>188800.00</w:t>
      </w:r>
      <w:r>
        <w:rPr>
          <w:rFonts w:hint="eastAsia" w:ascii="Times New Roman" w:hAnsi="Times New Roman" w:eastAsia="宋体" w:cs="Times New Roman"/>
          <w:sz w:val="28"/>
          <w:szCs w:val="28"/>
        </w:rPr>
        <w:t>元</w:t>
      </w:r>
    </w:p>
    <w:p>
      <w:pPr>
        <w:numPr>
          <w:ilvl w:val="0"/>
          <w:numId w:val="1"/>
        </w:numPr>
        <w:rPr>
          <w:rFonts w:ascii="Times New Roman" w:hAnsi="Times New Roman" w:eastAsia="宋体" w:cs="Times New Roman"/>
          <w:b/>
          <w:sz w:val="28"/>
          <w:szCs w:val="28"/>
        </w:rPr>
      </w:pPr>
      <w:r>
        <w:rPr>
          <w:rFonts w:hint="eastAsia" w:ascii="Times New Roman" w:hAnsi="Times New Roman" w:eastAsia="宋体" w:cs="Times New Roman"/>
          <w:b/>
          <w:sz w:val="28"/>
          <w:szCs w:val="28"/>
        </w:rPr>
        <w:t>设备清单</w:t>
      </w: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2263"/>
        <w:gridCol w:w="2611"/>
        <w:gridCol w:w="1546"/>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4" w:type="dxa"/>
          </w:tcPr>
          <w:p>
            <w:pPr>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设备</w:t>
            </w:r>
          </w:p>
        </w:tc>
        <w:tc>
          <w:tcPr>
            <w:tcW w:w="2263" w:type="dxa"/>
          </w:tcPr>
          <w:p>
            <w:pPr>
              <w:jc w:val="center"/>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品牌/</w:t>
            </w:r>
            <w:r>
              <w:rPr>
                <w:rFonts w:ascii="Times New Roman" w:hAnsi="Times New Roman" w:eastAsia="宋体" w:cs="Times New Roman"/>
                <w:b/>
                <w:bCs/>
                <w:kern w:val="0"/>
                <w:sz w:val="24"/>
                <w:szCs w:val="24"/>
              </w:rPr>
              <w:t>型号</w:t>
            </w:r>
          </w:p>
        </w:tc>
        <w:tc>
          <w:tcPr>
            <w:tcW w:w="2611" w:type="dxa"/>
          </w:tcPr>
          <w:p>
            <w:pPr>
              <w:jc w:val="center"/>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配置描述</w:t>
            </w:r>
          </w:p>
        </w:tc>
        <w:tc>
          <w:tcPr>
            <w:tcW w:w="1546" w:type="dxa"/>
          </w:tcPr>
          <w:p>
            <w:pPr>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数量</w:t>
            </w:r>
          </w:p>
        </w:tc>
        <w:tc>
          <w:tcPr>
            <w:tcW w:w="1544" w:type="dxa"/>
          </w:tcPr>
          <w:p>
            <w:pPr>
              <w:jc w:val="center"/>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服务级别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数据存储</w:t>
            </w:r>
          </w:p>
        </w:tc>
        <w:tc>
          <w:tcPr>
            <w:tcW w:w="226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神州云科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DCN NCS3000</w:t>
            </w:r>
          </w:p>
        </w:tc>
        <w:tc>
          <w:tcPr>
            <w:tcW w:w="2611" w:type="dxa"/>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双控，配置</w:t>
            </w:r>
            <w:r>
              <w:rPr>
                <w:rFonts w:ascii="Times New Roman" w:hAnsi="Times New Roman" w:eastAsia="宋体" w:cs="Times New Roman"/>
                <w:sz w:val="24"/>
                <w:szCs w:val="24"/>
              </w:rPr>
              <w:t>30块1.92TB SAS SSD,12块3.84SAS SSD,双活容灾体系</w:t>
            </w:r>
          </w:p>
        </w:tc>
        <w:tc>
          <w:tcPr>
            <w:tcW w:w="1546" w:type="dxa"/>
            <w:vAlign w:val="center"/>
          </w:tcPr>
          <w:p>
            <w:pPr>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2套</w:t>
            </w:r>
          </w:p>
        </w:tc>
        <w:tc>
          <w:tcPr>
            <w:tcW w:w="1544"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7*24*4服务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光纤交换机</w:t>
            </w:r>
          </w:p>
        </w:tc>
        <w:tc>
          <w:tcPr>
            <w:tcW w:w="2263"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神州云科 </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DCN DS6505</w:t>
            </w:r>
          </w:p>
        </w:tc>
        <w:tc>
          <w:tcPr>
            <w:tcW w:w="2611" w:type="dxa"/>
          </w:tcPr>
          <w:p>
            <w:pPr>
              <w:rPr>
                <w:rFonts w:ascii="Times New Roman" w:hAnsi="Times New Roman" w:eastAsia="宋体" w:cs="Times New Roman"/>
                <w:sz w:val="24"/>
                <w:szCs w:val="24"/>
              </w:rPr>
            </w:pPr>
            <w:r>
              <w:rPr>
                <w:rFonts w:ascii="Times New Roman" w:hAnsi="Times New Roman" w:eastAsia="宋体" w:cs="Times New Roman"/>
                <w:sz w:val="24"/>
                <w:szCs w:val="24"/>
              </w:rPr>
              <w:t>24端口全激活，16Gps</w:t>
            </w:r>
          </w:p>
        </w:tc>
        <w:tc>
          <w:tcPr>
            <w:tcW w:w="1546" w:type="dxa"/>
            <w:vAlign w:val="center"/>
          </w:tcPr>
          <w:p>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4台</w:t>
            </w:r>
          </w:p>
        </w:tc>
        <w:tc>
          <w:tcPr>
            <w:tcW w:w="1544"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7*24*4服务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数据存储</w:t>
            </w:r>
          </w:p>
        </w:tc>
        <w:tc>
          <w:tcPr>
            <w:tcW w:w="2263"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DELLEMC</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Unity XT 380</w:t>
            </w:r>
          </w:p>
        </w:tc>
        <w:tc>
          <w:tcPr>
            <w:tcW w:w="2611"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双控，配置</w:t>
            </w:r>
            <w:r>
              <w:rPr>
                <w:rFonts w:ascii="Times New Roman" w:hAnsi="Times New Roman" w:eastAsia="宋体" w:cs="Times New Roman"/>
                <w:sz w:val="24"/>
                <w:szCs w:val="24"/>
              </w:rPr>
              <w:t>15块6TB NL_SAS 磁盘,主备容灾体系</w:t>
            </w:r>
          </w:p>
        </w:tc>
        <w:tc>
          <w:tcPr>
            <w:tcW w:w="1546" w:type="dxa"/>
            <w:vAlign w:val="center"/>
          </w:tcPr>
          <w:p>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2套</w:t>
            </w:r>
          </w:p>
        </w:tc>
        <w:tc>
          <w:tcPr>
            <w:tcW w:w="1544"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7*24*4服务</w:t>
            </w:r>
          </w:p>
        </w:tc>
      </w:tr>
    </w:tbl>
    <w:p>
      <w:pPr>
        <w:numPr>
          <w:ilvl w:val="0"/>
          <w:numId w:val="1"/>
        </w:numPr>
        <w:rPr>
          <w:rFonts w:ascii="Times New Roman" w:hAnsi="Times New Roman" w:eastAsia="宋体" w:cs="Times New Roman"/>
          <w:b/>
          <w:sz w:val="28"/>
          <w:szCs w:val="28"/>
        </w:rPr>
      </w:pPr>
      <w:r>
        <w:rPr>
          <w:rFonts w:hint="eastAsia" w:ascii="Times New Roman" w:hAnsi="Times New Roman" w:eastAsia="宋体" w:cs="Times New Roman"/>
          <w:b/>
          <w:sz w:val="28"/>
          <w:szCs w:val="28"/>
        </w:rPr>
        <w:t>硬件设备维保服务内容及服务要求</w:t>
      </w:r>
    </w:p>
    <w:p>
      <w:pPr>
        <w:rPr>
          <w:rFonts w:ascii="Times New Roman" w:hAnsi="Times New Roman" w:eastAsia="宋体" w:cs="Times New Roman"/>
          <w:sz w:val="28"/>
          <w:szCs w:val="28"/>
        </w:rPr>
      </w:pPr>
      <w:r>
        <w:rPr>
          <w:rFonts w:ascii="Times New Roman" w:hAnsi="Times New Roman" w:eastAsia="宋体" w:cs="Times New Roman"/>
          <w:sz w:val="28"/>
          <w:szCs w:val="28"/>
        </w:rPr>
        <w:t>4</w:t>
      </w:r>
      <w:r>
        <w:rPr>
          <w:rFonts w:hint="eastAsia" w:ascii="Times New Roman" w:hAnsi="Times New Roman" w:eastAsia="宋体" w:cs="Times New Roman"/>
          <w:sz w:val="28"/>
          <w:szCs w:val="28"/>
        </w:rPr>
        <w:t>.1  在设备清单中列出的所有设备，包括设备中安装的所有部件及其上运行的软件均属于此次维保服务的内容。</w:t>
      </w:r>
    </w:p>
    <w:p>
      <w:pPr>
        <w:rPr>
          <w:rFonts w:ascii="Times New Roman" w:hAnsi="Times New Roman" w:eastAsia="宋体" w:cs="Times New Roman"/>
          <w:sz w:val="28"/>
          <w:szCs w:val="28"/>
        </w:rPr>
      </w:pPr>
      <w:r>
        <w:rPr>
          <w:rFonts w:ascii="Times New Roman" w:hAnsi="Times New Roman" w:eastAsia="宋体" w:cs="Times New Roman"/>
          <w:sz w:val="28"/>
          <w:szCs w:val="28"/>
        </w:rPr>
        <w:t>4.</w:t>
      </w:r>
      <w:r>
        <w:rPr>
          <w:rFonts w:hint="eastAsia" w:ascii="Times New Roman" w:hAnsi="Times New Roman" w:eastAsia="宋体" w:cs="Times New Roman"/>
          <w:sz w:val="28"/>
          <w:szCs w:val="28"/>
        </w:rPr>
        <w:t>2  设备服务要求如下：</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服务商应具有全国CALL CENTER技术响应中心，提供全国7*24服务热线；</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服务商应处理并解决现有设备存在故障，保证数据安全及设备运行稳定；</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更换的设备及部件要求是符合使用标准的正规配件，现场按要求配置相应数量的常用备件，以满足故障快速处理要求；</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服务商现场服务工程师应具备相关产品认证资质，并具备相关技术能力处理解决问题；</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在接到报修电话后，</w:t>
      </w:r>
      <w:r>
        <w:rPr>
          <w:rFonts w:hint="eastAsia" w:ascii="Times New Roman" w:hAnsi="Times New Roman" w:eastAsia="宋体" w:cs="Times New Roman"/>
          <w:sz w:val="28"/>
          <w:szCs w:val="28"/>
          <w:lang w:val="en-US" w:eastAsia="zh-CN"/>
        </w:rPr>
        <w:t>紧急</w:t>
      </w:r>
      <w:bookmarkStart w:id="1" w:name="_GoBack"/>
      <w:bookmarkEnd w:id="1"/>
      <w:r>
        <w:rPr>
          <w:rFonts w:hint="eastAsia" w:ascii="Times New Roman" w:hAnsi="Times New Roman" w:eastAsia="宋体" w:cs="Times New Roman"/>
          <w:sz w:val="28"/>
          <w:szCs w:val="28"/>
          <w:lang w:val="en-US" w:eastAsia="zh-CN"/>
        </w:rPr>
        <w:t>故障15</w:t>
      </w:r>
      <w:r>
        <w:rPr>
          <w:rFonts w:hint="eastAsia" w:ascii="Times New Roman" w:hAnsi="Times New Roman" w:eastAsia="宋体" w:cs="Times New Roman"/>
          <w:sz w:val="28"/>
          <w:szCs w:val="28"/>
        </w:rPr>
        <w:t>分钟内响应，如果需要现场服务，服务商工程师</w:t>
      </w:r>
      <w:r>
        <w:rPr>
          <w:rFonts w:hint="eastAsia" w:ascii="Times New Roman" w:hAnsi="Times New Roman" w:eastAsia="宋体" w:cs="Times New Roman"/>
          <w:sz w:val="28"/>
          <w:szCs w:val="28"/>
          <w:lang w:val="en-US" w:eastAsia="zh-CN"/>
        </w:rPr>
        <w:t>2</w:t>
      </w:r>
      <w:r>
        <w:rPr>
          <w:rFonts w:hint="eastAsia" w:ascii="Times New Roman" w:hAnsi="Times New Roman" w:eastAsia="宋体" w:cs="Times New Roman"/>
          <w:sz w:val="28"/>
          <w:szCs w:val="28"/>
        </w:rPr>
        <w:t>小时到达现场；</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每个月至少一次由服务商技术支持工程师对系统运行状况进行健康检查，并提供系统健康检查报告；</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提供7x24x4技术及备件支持；</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每次故障处理完成，要求提供故障分析及处理报告；</w:t>
      </w:r>
    </w:p>
    <w:p>
      <w:pPr>
        <w:numPr>
          <w:ilvl w:val="0"/>
          <w:numId w:val="2"/>
        </w:numPr>
        <w:rPr>
          <w:rFonts w:ascii="Times New Roman" w:hAnsi="Times New Roman" w:eastAsia="宋体" w:cs="Times New Roman"/>
          <w:sz w:val="28"/>
          <w:szCs w:val="28"/>
        </w:rPr>
      </w:pPr>
      <w:r>
        <w:rPr>
          <w:rFonts w:hint="eastAsia" w:ascii="Times New Roman" w:hAnsi="Times New Roman" w:eastAsia="宋体" w:cs="Times New Roman"/>
          <w:sz w:val="28"/>
          <w:szCs w:val="28"/>
        </w:rPr>
        <w:t>服务商完成各项服务内容并由我方对服务质量进行季度考核，未达到考核标准不予结算当季服务费用；</w:t>
      </w:r>
    </w:p>
    <w:p>
      <w:pPr>
        <w:numPr>
          <w:ilvl w:val="0"/>
          <w:numId w:val="1"/>
        </w:numPr>
        <w:rPr>
          <w:rFonts w:ascii="Times New Roman" w:hAnsi="Times New Roman" w:eastAsia="宋体" w:cs="Times New Roman"/>
          <w:b/>
          <w:sz w:val="28"/>
          <w:szCs w:val="28"/>
        </w:rPr>
      </w:pPr>
      <w:r>
        <w:rPr>
          <w:rFonts w:hint="eastAsia" w:ascii="Times New Roman" w:hAnsi="Times New Roman" w:eastAsia="宋体" w:cs="Times New Roman"/>
          <w:b/>
          <w:sz w:val="28"/>
          <w:szCs w:val="28"/>
        </w:rPr>
        <w:t>服务提供商资质要求</w:t>
      </w:r>
    </w:p>
    <w:p>
      <w:pPr>
        <w:pStyle w:val="41"/>
        <w:numPr>
          <w:ilvl w:val="1"/>
          <w:numId w:val="3"/>
        </w:numPr>
        <w:ind w:firstLineChars="0"/>
        <w:rPr>
          <w:sz w:val="28"/>
          <w:szCs w:val="28"/>
        </w:rPr>
      </w:pPr>
      <w:r>
        <w:rPr>
          <w:rFonts w:hint="eastAsia"/>
          <w:sz w:val="28"/>
          <w:szCs w:val="28"/>
        </w:rPr>
        <w:t xml:space="preserve"> </w:t>
      </w:r>
      <w:r>
        <w:rPr>
          <w:sz w:val="28"/>
          <w:szCs w:val="28"/>
        </w:rPr>
        <w:t>报价单位应是在中华人民共和国注册的、具有独立承担民事责任能力的法人、其他组织，并具备相应的经营范围，提供营业执照、组织机构代码证、税务登记证或工商营业执照三证合一复印件）；</w:t>
      </w:r>
    </w:p>
    <w:p>
      <w:pPr>
        <w:pStyle w:val="41"/>
        <w:numPr>
          <w:ilvl w:val="1"/>
          <w:numId w:val="3"/>
        </w:numPr>
        <w:ind w:firstLineChars="0"/>
        <w:rPr>
          <w:sz w:val="28"/>
          <w:szCs w:val="28"/>
        </w:rPr>
      </w:pPr>
      <w:r>
        <w:rPr>
          <w:rFonts w:hint="eastAsia"/>
          <w:sz w:val="28"/>
          <w:szCs w:val="28"/>
        </w:rPr>
        <w:t xml:space="preserve"> </w:t>
      </w:r>
      <w:r>
        <w:rPr>
          <w:sz w:val="28"/>
          <w:szCs w:val="28"/>
        </w:rPr>
        <w:t>报价单位在参加相关采购活动近三年内（成立不足三年的从成立之日起算），在经营活动中没有重大违法记录并提供声明函；</w:t>
      </w:r>
    </w:p>
    <w:p>
      <w:pPr>
        <w:pStyle w:val="41"/>
        <w:numPr>
          <w:ilvl w:val="1"/>
          <w:numId w:val="3"/>
        </w:numPr>
        <w:ind w:firstLineChars="0"/>
        <w:rPr>
          <w:sz w:val="28"/>
          <w:szCs w:val="28"/>
        </w:rPr>
      </w:pPr>
      <w:r>
        <w:rPr>
          <w:rFonts w:hint="eastAsia"/>
          <w:sz w:val="28"/>
          <w:szCs w:val="28"/>
        </w:rPr>
        <w:t xml:space="preserve"> </w:t>
      </w:r>
      <w:r>
        <w:rPr>
          <w:sz w:val="28"/>
          <w:szCs w:val="28"/>
        </w:rPr>
        <w:t>报价单位具有良好的商业信誉和健全的财务会计制度（提供202</w:t>
      </w:r>
      <w:r>
        <w:rPr>
          <w:rFonts w:hint="eastAsia"/>
          <w:sz w:val="28"/>
          <w:szCs w:val="28"/>
        </w:rPr>
        <w:t>4</w:t>
      </w:r>
      <w:r>
        <w:rPr>
          <w:sz w:val="28"/>
          <w:szCs w:val="28"/>
        </w:rPr>
        <w:t>年1月至今任意1个季度的单位财务报表，包含资产负债表、现金流量表、利润表）复印件加盖公章；</w:t>
      </w:r>
    </w:p>
    <w:p>
      <w:pPr>
        <w:pStyle w:val="41"/>
        <w:numPr>
          <w:ilvl w:val="1"/>
          <w:numId w:val="3"/>
        </w:numPr>
        <w:ind w:firstLineChars="0"/>
        <w:rPr>
          <w:sz w:val="28"/>
          <w:szCs w:val="28"/>
        </w:rPr>
      </w:pPr>
      <w:r>
        <w:rPr>
          <w:rFonts w:hint="eastAsia"/>
          <w:sz w:val="28"/>
          <w:szCs w:val="28"/>
        </w:rPr>
        <w:t xml:space="preserve"> </w:t>
      </w:r>
      <w:r>
        <w:rPr>
          <w:sz w:val="28"/>
          <w:szCs w:val="28"/>
        </w:rPr>
        <w:t>有依法缴纳税收和社会保障资金的良好记录。（提供202</w:t>
      </w:r>
      <w:r>
        <w:rPr>
          <w:rFonts w:hint="eastAsia"/>
          <w:sz w:val="28"/>
          <w:szCs w:val="28"/>
        </w:rPr>
        <w:t>4</w:t>
      </w:r>
      <w:r>
        <w:rPr>
          <w:sz w:val="28"/>
          <w:szCs w:val="28"/>
        </w:rPr>
        <w:t>年至今任意一个月的税收缴纳证明和社保缴纳证明复印件)复印件加盖公章；</w:t>
      </w:r>
    </w:p>
    <w:p>
      <w:pPr>
        <w:pStyle w:val="41"/>
        <w:numPr>
          <w:ilvl w:val="1"/>
          <w:numId w:val="3"/>
        </w:numPr>
        <w:ind w:firstLineChars="0"/>
        <w:rPr>
          <w:sz w:val="28"/>
          <w:szCs w:val="28"/>
        </w:rPr>
      </w:pPr>
      <w:r>
        <w:rPr>
          <w:sz w:val="28"/>
          <w:szCs w:val="28"/>
        </w:rPr>
        <w:t xml:space="preserve"> 提供供应商在“信用中国”（www.creditchina.gov.cn）网站没有被列入失信被执行人、重大税收违法案件当事人名单截图；（须提供在本项目价格论证公告发布后至报价截止时间前，通过“信用中国”网站查询其上述信用记录的信用信息查询结果网页打印件或截图加盖公章）；</w:t>
      </w:r>
    </w:p>
    <w:p>
      <w:pPr>
        <w:pStyle w:val="41"/>
        <w:numPr>
          <w:ilvl w:val="1"/>
          <w:numId w:val="4"/>
        </w:numPr>
        <w:ind w:firstLineChars="0"/>
        <w:rPr>
          <w:sz w:val="28"/>
          <w:szCs w:val="28"/>
        </w:rPr>
      </w:pPr>
      <w:r>
        <w:rPr>
          <w:rFonts w:hint="eastAsia"/>
          <w:sz w:val="28"/>
          <w:szCs w:val="28"/>
        </w:rPr>
        <w:t xml:space="preserve"> </w:t>
      </w:r>
      <w:r>
        <w:rPr>
          <w:sz w:val="28"/>
          <w:szCs w:val="28"/>
        </w:rPr>
        <w:t>法人代表身份证复印件，如委托他人报名参加，需有授权委托书及身份证复印件。</w:t>
      </w:r>
    </w:p>
    <w:p>
      <w:pPr>
        <w:pStyle w:val="41"/>
        <w:numPr>
          <w:ilvl w:val="1"/>
          <w:numId w:val="4"/>
        </w:numPr>
        <w:ind w:firstLineChars="0"/>
        <w:rPr>
          <w:sz w:val="28"/>
          <w:szCs w:val="28"/>
        </w:rPr>
      </w:pPr>
      <w:r>
        <w:rPr>
          <w:rFonts w:hint="eastAsia"/>
          <w:sz w:val="28"/>
          <w:szCs w:val="28"/>
        </w:rPr>
        <w:t xml:space="preserve"> 需提供</w:t>
      </w:r>
      <w:r>
        <w:rPr>
          <w:sz w:val="28"/>
          <w:szCs w:val="28"/>
        </w:rPr>
        <w:t>针对本项目的</w:t>
      </w:r>
      <w:r>
        <w:rPr>
          <w:rFonts w:hint="eastAsia"/>
          <w:sz w:val="28"/>
          <w:szCs w:val="28"/>
        </w:rPr>
        <w:t>神州云科/DELL原厂</w:t>
      </w:r>
      <w:r>
        <w:rPr>
          <w:sz w:val="28"/>
          <w:szCs w:val="28"/>
        </w:rPr>
        <w:t>授权函及服务承诺函。</w:t>
      </w:r>
    </w:p>
    <w:p>
      <w:pPr>
        <w:pStyle w:val="41"/>
        <w:numPr>
          <w:ilvl w:val="1"/>
          <w:numId w:val="4"/>
        </w:numPr>
        <w:ind w:firstLineChars="0"/>
        <w:rPr>
          <w:sz w:val="28"/>
          <w:szCs w:val="28"/>
        </w:rPr>
      </w:pPr>
      <w:r>
        <w:rPr>
          <w:rFonts w:hint="eastAsia"/>
          <w:sz w:val="28"/>
          <w:szCs w:val="28"/>
        </w:rPr>
        <w:t xml:space="preserve"> 报价单位需</w:t>
      </w:r>
      <w:r>
        <w:rPr>
          <w:sz w:val="28"/>
          <w:szCs w:val="28"/>
        </w:rPr>
        <w:t>提供至少一名</w:t>
      </w:r>
      <w:r>
        <w:rPr>
          <w:rFonts w:hint="eastAsia"/>
          <w:sz w:val="28"/>
          <w:szCs w:val="28"/>
        </w:rPr>
        <w:t>神州云科</w:t>
      </w:r>
      <w:r>
        <w:rPr>
          <w:sz w:val="28"/>
          <w:szCs w:val="28"/>
        </w:rPr>
        <w:t>认证</w:t>
      </w:r>
      <w:r>
        <w:rPr>
          <w:rFonts w:hint="eastAsia"/>
          <w:sz w:val="28"/>
          <w:szCs w:val="28"/>
        </w:rPr>
        <w:t>及DELL存储</w:t>
      </w:r>
      <w:r>
        <w:rPr>
          <w:sz w:val="28"/>
          <w:szCs w:val="28"/>
        </w:rPr>
        <w:t>工程师资质</w:t>
      </w:r>
      <w:r>
        <w:rPr>
          <w:rFonts w:hint="eastAsia"/>
          <w:sz w:val="28"/>
          <w:szCs w:val="28"/>
        </w:rPr>
        <w:t>证书及对应社保</w:t>
      </w:r>
      <w:r>
        <w:rPr>
          <w:sz w:val="28"/>
          <w:szCs w:val="28"/>
        </w:rPr>
        <w:t>证明，以保证服务质量。</w:t>
      </w:r>
    </w:p>
    <w:p>
      <w:pPr>
        <w:pStyle w:val="41"/>
        <w:numPr>
          <w:ilvl w:val="1"/>
          <w:numId w:val="4"/>
        </w:numPr>
        <w:ind w:firstLineChars="0"/>
        <w:rPr>
          <w:sz w:val="28"/>
          <w:szCs w:val="28"/>
        </w:rPr>
      </w:pPr>
      <w:r>
        <w:rPr>
          <w:rFonts w:hint="eastAsia"/>
          <w:sz w:val="28"/>
          <w:szCs w:val="28"/>
        </w:rPr>
        <w:t xml:space="preserve"> </w:t>
      </w:r>
      <w:r>
        <w:rPr>
          <w:sz w:val="28"/>
          <w:szCs w:val="28"/>
        </w:rPr>
        <w:t>以上材料需按顺序装订胶装成册，复印件须加盖公章。</w:t>
      </w:r>
    </w:p>
    <w:p>
      <w:pPr>
        <w:widowControl/>
        <w:jc w:val="left"/>
        <w:rPr>
          <w:rFonts w:ascii="Times New Roman" w:hAnsi="Times New Roman" w:eastAsia="宋体" w:cs="Times New Roman"/>
          <w:sz w:val="28"/>
          <w:szCs w:val="28"/>
        </w:rPr>
      </w:pPr>
      <w:r>
        <w:rPr>
          <w:sz w:val="28"/>
          <w:szCs w:val="28"/>
        </w:rPr>
        <w:br w:type="page"/>
      </w:r>
    </w:p>
    <w:p>
      <w:pPr>
        <w:ind w:left="420"/>
        <w:rPr>
          <w:rFonts w:hint="eastAsia"/>
          <w:sz w:val="28"/>
          <w:szCs w:val="28"/>
        </w:rPr>
      </w:pPr>
      <w:r>
        <w:rPr>
          <w:rFonts w:hint="eastAsia"/>
          <w:sz w:val="28"/>
          <w:szCs w:val="28"/>
        </w:rPr>
        <w:t>附件：服务质量考核表</w:t>
      </w:r>
    </w:p>
    <w:p>
      <w:pPr>
        <w:jc w:val="center"/>
        <w:rPr>
          <w:rFonts w:hint="eastAsia" w:hAnsi="宋体"/>
          <w:b/>
          <w:iCs/>
          <w:color w:val="000000" w:themeColor="text1"/>
          <w:sz w:val="36"/>
          <w:szCs w:val="36"/>
          <w14:textFill>
            <w14:solidFill>
              <w14:schemeClr w14:val="tx1"/>
            </w14:solidFill>
          </w14:textFill>
        </w:rPr>
      </w:pPr>
      <w:r>
        <w:rPr>
          <w:rFonts w:hint="eastAsia" w:hAnsi="宋体"/>
          <w:b/>
          <w:iCs/>
          <w:color w:val="000000" w:themeColor="text1"/>
          <w:sz w:val="36"/>
          <w:szCs w:val="36"/>
          <w14:textFill>
            <w14:solidFill>
              <w14:schemeClr w14:val="tx1"/>
            </w14:solidFill>
          </w14:textFill>
        </w:rPr>
        <w:t>维保</w:t>
      </w:r>
      <w:r>
        <w:rPr>
          <w:rFonts w:hAnsi="宋体"/>
          <w:b/>
          <w:iCs/>
          <w:color w:val="000000" w:themeColor="text1"/>
          <w:sz w:val="36"/>
          <w:szCs w:val="36"/>
          <w14:textFill>
            <w14:solidFill>
              <w14:schemeClr w14:val="tx1"/>
            </w14:solidFill>
          </w14:textFill>
        </w:rPr>
        <w:t>服务</w:t>
      </w:r>
      <w:r>
        <w:rPr>
          <w:rFonts w:hint="eastAsia" w:hAnsi="宋体"/>
          <w:b/>
          <w:iCs/>
          <w:color w:val="000000" w:themeColor="text1"/>
          <w:sz w:val="36"/>
          <w:szCs w:val="36"/>
          <w14:textFill>
            <w14:solidFill>
              <w14:schemeClr w14:val="tx1"/>
            </w14:solidFill>
          </w14:textFill>
        </w:rPr>
        <w:t>质量</w:t>
      </w:r>
      <w:r>
        <w:rPr>
          <w:rFonts w:hAnsi="宋体"/>
          <w:b/>
          <w:iCs/>
          <w:color w:val="000000" w:themeColor="text1"/>
          <w:sz w:val="36"/>
          <w:szCs w:val="36"/>
          <w14:textFill>
            <w14:solidFill>
              <w14:schemeClr w14:val="tx1"/>
            </w14:solidFill>
          </w14:textFill>
        </w:rPr>
        <w:t>考核</w:t>
      </w:r>
      <w:r>
        <w:rPr>
          <w:rFonts w:hint="eastAsia" w:hAnsi="宋体"/>
          <w:b/>
          <w:iCs/>
          <w:color w:val="000000" w:themeColor="text1"/>
          <w:sz w:val="36"/>
          <w:szCs w:val="36"/>
          <w14:textFill>
            <w14:solidFill>
              <w14:schemeClr w14:val="tx1"/>
            </w14:solidFill>
          </w14:textFill>
        </w:rPr>
        <w:t>表</w:t>
      </w:r>
    </w:p>
    <w:p>
      <w:pPr>
        <w:jc w:val="center"/>
        <w:rPr>
          <w:rFonts w:hint="eastAsia"/>
          <w:sz w:val="28"/>
          <w:szCs w:val="28"/>
        </w:rPr>
      </w:pPr>
    </w:p>
    <w:tbl>
      <w:tblPr>
        <w:tblStyle w:val="27"/>
        <w:tblW w:w="82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75"/>
        <w:gridCol w:w="2102"/>
        <w:gridCol w:w="703"/>
        <w:gridCol w:w="693"/>
        <w:gridCol w:w="1231"/>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249" w:type="dxa"/>
            <w:shd w:val="clear" w:color="auto" w:fill="BFBFBF"/>
            <w:vAlign w:val="center"/>
          </w:tcPr>
          <w:p>
            <w:pPr>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服务项目</w:t>
            </w:r>
          </w:p>
        </w:tc>
        <w:tc>
          <w:tcPr>
            <w:tcW w:w="1275" w:type="dxa"/>
            <w:shd w:val="clear" w:color="auto" w:fill="BFBFBF"/>
            <w:vAlign w:val="center"/>
          </w:tcPr>
          <w:p>
            <w:pPr>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服务</w:t>
            </w:r>
            <w:r>
              <w:rPr>
                <w:rFonts w:ascii="宋体" w:hAnsi="宋体"/>
                <w:b/>
                <w:color w:val="000000" w:themeColor="text1"/>
                <w14:textFill>
                  <w14:solidFill>
                    <w14:schemeClr w14:val="tx1"/>
                  </w14:solidFill>
                </w14:textFill>
              </w:rPr>
              <w:t>内容</w:t>
            </w:r>
          </w:p>
        </w:tc>
        <w:tc>
          <w:tcPr>
            <w:tcW w:w="2102" w:type="dxa"/>
            <w:shd w:val="clear" w:color="auto" w:fill="BFBFBF"/>
            <w:vAlign w:val="center"/>
          </w:tcPr>
          <w:p>
            <w:pPr>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要求</w:t>
            </w:r>
          </w:p>
        </w:tc>
        <w:tc>
          <w:tcPr>
            <w:tcW w:w="703" w:type="dxa"/>
            <w:shd w:val="clear" w:color="auto" w:fill="BFBFBF"/>
            <w:vAlign w:val="center"/>
          </w:tcPr>
          <w:p>
            <w:pP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权重 </w:t>
            </w:r>
            <w:r>
              <w:rPr>
                <w:rFonts w:ascii="宋体" w:hAnsi="宋体"/>
                <w:b/>
                <w:color w:val="000000" w:themeColor="text1"/>
                <w14:textFill>
                  <w14:solidFill>
                    <w14:schemeClr w14:val="tx1"/>
                  </w14:solidFill>
                </w14:textFill>
              </w:rPr>
              <w:t>%</w:t>
            </w:r>
          </w:p>
        </w:tc>
        <w:tc>
          <w:tcPr>
            <w:tcW w:w="693" w:type="dxa"/>
            <w:shd w:val="clear" w:color="auto" w:fill="BFBFBF"/>
            <w:vAlign w:val="center"/>
          </w:tcPr>
          <w:p>
            <w:pPr>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考核</w:t>
            </w:r>
            <w:r>
              <w:rPr>
                <w:rFonts w:ascii="宋体" w:hAnsi="宋体"/>
                <w:b/>
                <w:color w:val="000000" w:themeColor="text1"/>
                <w14:textFill>
                  <w14:solidFill>
                    <w14:schemeClr w14:val="tx1"/>
                  </w14:solidFill>
                </w14:textFill>
              </w:rPr>
              <w:t>周期</w:t>
            </w:r>
          </w:p>
        </w:tc>
        <w:tc>
          <w:tcPr>
            <w:tcW w:w="1231" w:type="dxa"/>
            <w:shd w:val="clear" w:color="auto" w:fill="BFBFBF"/>
            <w:vAlign w:val="center"/>
          </w:tcPr>
          <w:p>
            <w:pPr>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完成</w:t>
            </w:r>
            <w:r>
              <w:rPr>
                <w:rFonts w:ascii="宋体" w:hAnsi="宋体"/>
                <w:b/>
                <w:color w:val="000000" w:themeColor="text1"/>
                <w14:textFill>
                  <w14:solidFill>
                    <w14:schemeClr w14:val="tx1"/>
                  </w14:solidFill>
                </w14:textFill>
              </w:rPr>
              <w:t>情况</w:t>
            </w:r>
          </w:p>
        </w:tc>
        <w:tc>
          <w:tcPr>
            <w:tcW w:w="1013" w:type="dxa"/>
            <w:shd w:val="clear" w:color="auto" w:fill="BFBFBF"/>
            <w:vAlign w:val="center"/>
          </w:tcPr>
          <w:p>
            <w:pPr>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249" w:type="dxa"/>
            <w:vMerge w:val="restart"/>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定期巡检服务</w:t>
            </w:r>
          </w:p>
        </w:tc>
        <w:tc>
          <w:tcPr>
            <w:tcW w:w="1275" w:type="dxa"/>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月度</w:t>
            </w:r>
            <w:r>
              <w:rPr>
                <w:rFonts w:ascii="宋体" w:hAnsi="宋体"/>
                <w:color w:val="000000" w:themeColor="text1"/>
                <w14:textFill>
                  <w14:solidFill>
                    <w14:schemeClr w14:val="tx1"/>
                  </w14:solidFill>
                </w14:textFill>
              </w:rPr>
              <w:t>巡检服务</w:t>
            </w:r>
          </w:p>
        </w:tc>
        <w:tc>
          <w:tcPr>
            <w:tcW w:w="2102" w:type="dxa"/>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按月</w:t>
            </w:r>
            <w:r>
              <w:rPr>
                <w:rFonts w:ascii="宋体" w:hAnsi="宋体"/>
                <w:color w:val="000000" w:themeColor="text1"/>
                <w14:textFill>
                  <w14:solidFill>
                    <w14:schemeClr w14:val="tx1"/>
                  </w14:solidFill>
                </w14:textFill>
              </w:rPr>
              <w:t>巡检</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提交巡检报告</w:t>
            </w:r>
          </w:p>
        </w:tc>
        <w:tc>
          <w:tcPr>
            <w:tcW w:w="703" w:type="dxa"/>
            <w:shd w:val="clear" w:color="auto" w:fill="auto"/>
            <w:vAlign w:val="center"/>
          </w:tcPr>
          <w:p>
            <w:pPr>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0</w:t>
            </w:r>
            <w:r>
              <w:rPr>
                <w:rFonts w:ascii="宋体" w:hAnsi="宋体"/>
                <w:color w:val="000000" w:themeColor="text1"/>
                <w14:textFill>
                  <w14:solidFill>
                    <w14:schemeClr w14:val="tx1"/>
                  </w14:solidFill>
                </w14:textFill>
              </w:rPr>
              <w:t>%</w:t>
            </w:r>
          </w:p>
        </w:tc>
        <w:tc>
          <w:tcPr>
            <w:tcW w:w="693" w:type="dxa"/>
            <w:vMerge w:val="restart"/>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p>
        </w:tc>
        <w:tc>
          <w:tcPr>
            <w:tcW w:w="1231" w:type="dxa"/>
            <w:shd w:val="clear" w:color="auto" w:fill="auto"/>
            <w:vAlign w:val="center"/>
          </w:tcPr>
          <w:p>
            <w:pPr>
              <w:rPr>
                <w:rFonts w:hint="eastAsia" w:ascii="宋体" w:hAnsi="宋体"/>
                <w:color w:val="000000" w:themeColor="text1"/>
                <w14:textFill>
                  <w14:solidFill>
                    <w14:schemeClr w14:val="tx1"/>
                  </w14:solidFill>
                </w14:textFill>
              </w:rPr>
            </w:pPr>
          </w:p>
        </w:tc>
        <w:tc>
          <w:tcPr>
            <w:tcW w:w="1013" w:type="dxa"/>
            <w:vMerge w:val="restart"/>
            <w:shd w:val="clear" w:color="auto" w:fill="auto"/>
          </w:tcPr>
          <w:p>
            <w:pPr>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249" w:type="dxa"/>
            <w:vMerge w:val="continue"/>
            <w:shd w:val="clear" w:color="auto" w:fill="auto"/>
            <w:vAlign w:val="center"/>
          </w:tcPr>
          <w:p>
            <w:pPr>
              <w:jc w:val="center"/>
              <w:rPr>
                <w:rFonts w:hint="eastAsia" w:ascii="宋体" w:hAnsi="宋体"/>
                <w:color w:val="000000" w:themeColor="text1"/>
                <w14:textFill>
                  <w14:solidFill>
                    <w14:schemeClr w14:val="tx1"/>
                  </w14:solidFill>
                </w14:textFill>
              </w:rPr>
            </w:pPr>
          </w:p>
        </w:tc>
        <w:tc>
          <w:tcPr>
            <w:tcW w:w="1275" w:type="dxa"/>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r>
              <w:rPr>
                <w:rFonts w:ascii="宋体" w:hAnsi="宋体"/>
                <w:color w:val="000000" w:themeColor="text1"/>
                <w14:textFill>
                  <w14:solidFill>
                    <w14:schemeClr w14:val="tx1"/>
                  </w14:solidFill>
                </w14:textFill>
              </w:rPr>
              <w:t>巡检服务</w:t>
            </w:r>
          </w:p>
        </w:tc>
        <w:tc>
          <w:tcPr>
            <w:tcW w:w="2102" w:type="dxa"/>
            <w:shd w:val="clear" w:color="auto" w:fill="auto"/>
            <w:vAlign w:val="center"/>
          </w:tcPr>
          <w:p>
            <w:pPr>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季度巡检</w:t>
            </w:r>
            <w:r>
              <w:rPr>
                <w:rFonts w:hint="eastAsia" w:ascii="宋体" w:hAnsi="宋体"/>
                <w:color w:val="000000" w:themeColor="text1"/>
                <w14:textFill>
                  <w14:solidFill>
                    <w14:schemeClr w14:val="tx1"/>
                  </w14:solidFill>
                </w14:textFill>
              </w:rPr>
              <w:t>报告汇总</w:t>
            </w:r>
          </w:p>
        </w:tc>
        <w:tc>
          <w:tcPr>
            <w:tcW w:w="703" w:type="dxa"/>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w:t>
            </w:r>
          </w:p>
        </w:tc>
        <w:tc>
          <w:tcPr>
            <w:tcW w:w="693" w:type="dxa"/>
            <w:vMerge w:val="continue"/>
            <w:shd w:val="clear" w:color="auto" w:fill="auto"/>
            <w:vAlign w:val="center"/>
          </w:tcPr>
          <w:p>
            <w:pPr>
              <w:jc w:val="center"/>
              <w:rPr>
                <w:rFonts w:hint="eastAsia" w:ascii="宋体" w:hAnsi="宋体"/>
                <w:color w:val="000000" w:themeColor="text1"/>
                <w14:textFill>
                  <w14:solidFill>
                    <w14:schemeClr w14:val="tx1"/>
                  </w14:solidFill>
                </w14:textFill>
              </w:rPr>
            </w:pPr>
          </w:p>
        </w:tc>
        <w:tc>
          <w:tcPr>
            <w:tcW w:w="1231" w:type="dxa"/>
            <w:shd w:val="clear" w:color="auto" w:fill="auto"/>
            <w:vAlign w:val="center"/>
          </w:tcPr>
          <w:p>
            <w:pPr>
              <w:jc w:val="center"/>
              <w:rPr>
                <w:rFonts w:hint="eastAsia" w:ascii="宋体" w:hAnsi="宋体"/>
                <w:color w:val="000000" w:themeColor="text1"/>
                <w14:textFill>
                  <w14:solidFill>
                    <w14:schemeClr w14:val="tx1"/>
                  </w14:solidFill>
                </w14:textFill>
              </w:rPr>
            </w:pPr>
          </w:p>
        </w:tc>
        <w:tc>
          <w:tcPr>
            <w:tcW w:w="1013" w:type="dxa"/>
            <w:vMerge w:val="continue"/>
            <w:shd w:val="clear" w:color="auto" w:fill="auto"/>
          </w:tcPr>
          <w:p>
            <w:pPr>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jc w:val="center"/>
        </w:trPr>
        <w:tc>
          <w:tcPr>
            <w:tcW w:w="1249" w:type="dxa"/>
            <w:vMerge w:val="restart"/>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故障处理</w:t>
            </w:r>
          </w:p>
        </w:tc>
        <w:tc>
          <w:tcPr>
            <w:tcW w:w="1275" w:type="dxa"/>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硬件故障</w:t>
            </w:r>
          </w:p>
        </w:tc>
        <w:tc>
          <w:tcPr>
            <w:tcW w:w="2102" w:type="dxa"/>
            <w:vMerge w:val="restart"/>
            <w:shd w:val="clear" w:color="auto" w:fill="auto"/>
            <w:vAlign w:val="center"/>
          </w:tcPr>
          <w:p>
            <w:pP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紧急故障在15分钟内响应，技术服务工程师</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小时内到达现场，常用备件（如：存储硬盘）</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小时内将与技术服务工程师一起到达现场。</w:t>
            </w:r>
            <w:r>
              <w:rPr>
                <w:rFonts w:ascii="宋体" w:hAnsi="宋体"/>
                <w:color w:val="000000" w:themeColor="text1"/>
                <w14:textFill>
                  <w14:solidFill>
                    <w14:schemeClr w14:val="tx1"/>
                  </w14:solidFill>
                </w14:textFill>
              </w:rPr>
              <w:t>现场</w:t>
            </w:r>
            <w:r>
              <w:rPr>
                <w:rFonts w:hint="eastAsia" w:ascii="宋体" w:hAnsi="宋体"/>
                <w:color w:val="000000" w:themeColor="text1"/>
                <w14:textFill>
                  <w14:solidFill>
                    <w14:schemeClr w14:val="tx1"/>
                  </w14:solidFill>
                </w14:textFill>
              </w:rPr>
              <w:t>无</w:t>
            </w:r>
            <w:r>
              <w:rPr>
                <w:rFonts w:ascii="宋体" w:hAnsi="宋体"/>
                <w:color w:val="000000" w:themeColor="text1"/>
                <w14:textFill>
                  <w14:solidFill>
                    <w14:schemeClr w14:val="tx1"/>
                  </w14:solidFill>
                </w14:textFill>
              </w:rPr>
              <w:t>备件</w:t>
            </w:r>
            <w:r>
              <w:rPr>
                <w:rFonts w:hint="eastAsia" w:ascii="宋体" w:hAnsi="宋体"/>
                <w:color w:val="000000" w:themeColor="text1"/>
                <w14:textFill>
                  <w14:solidFill>
                    <w14:schemeClr w14:val="tx1"/>
                  </w14:solidFill>
                </w14:textFill>
              </w:rPr>
              <w:t>情况，</w:t>
            </w:r>
            <w:r>
              <w:rPr>
                <w:rFonts w:ascii="宋体" w:hAnsi="宋体"/>
                <w:color w:val="000000" w:themeColor="text1"/>
                <w14:textFill>
                  <w14:solidFill>
                    <w14:schemeClr w14:val="tx1"/>
                  </w14:solidFill>
                </w14:textFill>
              </w:rPr>
              <w:t>一周内</w:t>
            </w:r>
            <w:r>
              <w:rPr>
                <w:rFonts w:hint="eastAsia" w:ascii="宋体" w:hAnsi="宋体"/>
                <w:color w:val="000000" w:themeColor="text1"/>
                <w14:textFill>
                  <w14:solidFill>
                    <w14:schemeClr w14:val="tx1"/>
                  </w14:solidFill>
                </w14:textFill>
              </w:rPr>
              <w:t>完成</w:t>
            </w:r>
            <w:r>
              <w:rPr>
                <w:rFonts w:ascii="宋体" w:hAnsi="宋体"/>
                <w:color w:val="000000" w:themeColor="text1"/>
                <w14:textFill>
                  <w14:solidFill>
                    <w14:schemeClr w14:val="tx1"/>
                  </w14:solidFill>
                </w14:textFill>
              </w:rPr>
              <w:t>处理</w:t>
            </w:r>
          </w:p>
        </w:tc>
        <w:tc>
          <w:tcPr>
            <w:tcW w:w="703" w:type="dxa"/>
            <w:shd w:val="clear" w:color="auto" w:fill="auto"/>
            <w:vAlign w:val="center"/>
          </w:tcPr>
          <w:p>
            <w:pPr>
              <w:jc w:val="center"/>
              <w:rPr>
                <w:rFonts w:hint="eastAsia"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t>20%</w:t>
            </w:r>
          </w:p>
        </w:tc>
        <w:tc>
          <w:tcPr>
            <w:tcW w:w="693" w:type="dxa"/>
            <w:vMerge w:val="restart"/>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p>
        </w:tc>
        <w:tc>
          <w:tcPr>
            <w:tcW w:w="1231" w:type="dxa"/>
            <w:shd w:val="clear" w:color="auto" w:fill="auto"/>
            <w:vAlign w:val="center"/>
          </w:tcPr>
          <w:p>
            <w:pPr>
              <w:jc w:val="center"/>
              <w:rPr>
                <w:rFonts w:hint="eastAsia" w:ascii="宋体" w:hAnsi="宋体"/>
                <w:color w:val="000000" w:themeColor="text1"/>
                <w14:textFill>
                  <w14:solidFill>
                    <w14:schemeClr w14:val="tx1"/>
                  </w14:solidFill>
                </w14:textFill>
              </w:rPr>
            </w:pPr>
          </w:p>
        </w:tc>
        <w:tc>
          <w:tcPr>
            <w:tcW w:w="1013" w:type="dxa"/>
            <w:vMerge w:val="restart"/>
            <w:shd w:val="clear" w:color="auto" w:fill="auto"/>
          </w:tcPr>
          <w:p>
            <w:pPr>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1249" w:type="dxa"/>
            <w:vMerge w:val="continue"/>
            <w:shd w:val="clear" w:color="auto" w:fill="auto"/>
            <w:vAlign w:val="center"/>
          </w:tcPr>
          <w:p>
            <w:pPr>
              <w:jc w:val="center"/>
              <w:rPr>
                <w:rFonts w:hint="eastAsia" w:ascii="宋体" w:hAnsi="宋体"/>
                <w:color w:val="000000" w:themeColor="text1"/>
                <w14:textFill>
                  <w14:solidFill>
                    <w14:schemeClr w14:val="tx1"/>
                  </w14:solidFill>
                </w14:textFill>
              </w:rPr>
            </w:pPr>
          </w:p>
        </w:tc>
        <w:tc>
          <w:tcPr>
            <w:tcW w:w="1275" w:type="dxa"/>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性能诊断</w:t>
            </w:r>
          </w:p>
        </w:tc>
        <w:tc>
          <w:tcPr>
            <w:tcW w:w="2102" w:type="dxa"/>
            <w:vMerge w:val="continue"/>
            <w:shd w:val="clear" w:color="auto" w:fill="auto"/>
            <w:vAlign w:val="center"/>
          </w:tcPr>
          <w:p>
            <w:pPr>
              <w:jc w:val="center"/>
              <w:rPr>
                <w:rFonts w:hint="eastAsia" w:ascii="宋体" w:hAnsi="宋体"/>
                <w:color w:val="000000" w:themeColor="text1"/>
                <w14:textFill>
                  <w14:solidFill>
                    <w14:schemeClr w14:val="tx1"/>
                  </w14:solidFill>
                </w14:textFill>
              </w:rPr>
            </w:pPr>
          </w:p>
        </w:tc>
        <w:tc>
          <w:tcPr>
            <w:tcW w:w="703" w:type="dxa"/>
            <w:shd w:val="clear" w:color="auto" w:fill="auto"/>
            <w:vAlign w:val="center"/>
          </w:tcPr>
          <w:p>
            <w:pPr>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w:t>
            </w:r>
          </w:p>
        </w:tc>
        <w:tc>
          <w:tcPr>
            <w:tcW w:w="693" w:type="dxa"/>
            <w:vMerge w:val="continue"/>
            <w:shd w:val="clear" w:color="auto" w:fill="auto"/>
            <w:vAlign w:val="center"/>
          </w:tcPr>
          <w:p>
            <w:pPr>
              <w:jc w:val="center"/>
              <w:rPr>
                <w:rFonts w:hint="eastAsia" w:ascii="宋体" w:hAnsi="宋体"/>
                <w:color w:val="000000" w:themeColor="text1"/>
                <w14:textFill>
                  <w14:solidFill>
                    <w14:schemeClr w14:val="tx1"/>
                  </w14:solidFill>
                </w14:textFill>
              </w:rPr>
            </w:pPr>
          </w:p>
        </w:tc>
        <w:tc>
          <w:tcPr>
            <w:tcW w:w="1231" w:type="dxa"/>
            <w:shd w:val="clear" w:color="auto" w:fill="auto"/>
            <w:vAlign w:val="center"/>
          </w:tcPr>
          <w:p>
            <w:pPr>
              <w:jc w:val="center"/>
              <w:rPr>
                <w:rFonts w:hint="eastAsia" w:ascii="宋体" w:hAnsi="宋体"/>
                <w:color w:val="000000" w:themeColor="text1"/>
                <w14:textFill>
                  <w14:solidFill>
                    <w14:schemeClr w14:val="tx1"/>
                  </w14:solidFill>
                </w14:textFill>
              </w:rPr>
            </w:pPr>
          </w:p>
        </w:tc>
        <w:tc>
          <w:tcPr>
            <w:tcW w:w="1013" w:type="dxa"/>
            <w:vMerge w:val="continue"/>
            <w:shd w:val="clear" w:color="auto" w:fill="auto"/>
          </w:tcPr>
          <w:p>
            <w:pPr>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249" w:type="dxa"/>
            <w:vMerge w:val="continue"/>
            <w:shd w:val="clear" w:color="auto" w:fill="auto"/>
            <w:vAlign w:val="center"/>
          </w:tcPr>
          <w:p>
            <w:pPr>
              <w:jc w:val="center"/>
              <w:rPr>
                <w:rFonts w:hint="eastAsia" w:ascii="宋体" w:hAnsi="宋体"/>
                <w:color w:val="000000" w:themeColor="text1"/>
                <w14:textFill>
                  <w14:solidFill>
                    <w14:schemeClr w14:val="tx1"/>
                  </w14:solidFill>
                </w14:textFill>
              </w:rPr>
            </w:pPr>
          </w:p>
        </w:tc>
        <w:tc>
          <w:tcPr>
            <w:tcW w:w="1275" w:type="dxa"/>
            <w:shd w:val="clear" w:color="auto" w:fill="auto"/>
            <w:vAlign w:val="center"/>
          </w:tcPr>
          <w:p>
            <w:pP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设备微码升级及已知bug处理</w:t>
            </w:r>
          </w:p>
        </w:tc>
        <w:tc>
          <w:tcPr>
            <w:tcW w:w="2102" w:type="dxa"/>
            <w:vMerge w:val="continue"/>
            <w:shd w:val="clear" w:color="auto" w:fill="auto"/>
            <w:vAlign w:val="center"/>
          </w:tcPr>
          <w:p>
            <w:pPr>
              <w:jc w:val="center"/>
              <w:rPr>
                <w:rFonts w:hint="eastAsia" w:ascii="宋体" w:hAnsi="宋体"/>
                <w:color w:val="000000" w:themeColor="text1"/>
                <w14:textFill>
                  <w14:solidFill>
                    <w14:schemeClr w14:val="tx1"/>
                  </w14:solidFill>
                </w14:textFill>
              </w:rPr>
            </w:pPr>
          </w:p>
        </w:tc>
        <w:tc>
          <w:tcPr>
            <w:tcW w:w="703" w:type="dxa"/>
            <w:shd w:val="clear" w:color="auto" w:fill="auto"/>
            <w:vAlign w:val="center"/>
          </w:tcPr>
          <w:p>
            <w:pPr>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w:t>
            </w:r>
          </w:p>
        </w:tc>
        <w:tc>
          <w:tcPr>
            <w:tcW w:w="693" w:type="dxa"/>
            <w:vMerge w:val="continue"/>
            <w:shd w:val="clear" w:color="auto" w:fill="auto"/>
            <w:vAlign w:val="center"/>
          </w:tcPr>
          <w:p>
            <w:pPr>
              <w:jc w:val="center"/>
              <w:rPr>
                <w:rFonts w:hint="eastAsia" w:ascii="宋体" w:hAnsi="宋体"/>
                <w:color w:val="000000" w:themeColor="text1"/>
                <w14:textFill>
                  <w14:solidFill>
                    <w14:schemeClr w14:val="tx1"/>
                  </w14:solidFill>
                </w14:textFill>
              </w:rPr>
            </w:pPr>
          </w:p>
        </w:tc>
        <w:tc>
          <w:tcPr>
            <w:tcW w:w="1231" w:type="dxa"/>
            <w:shd w:val="clear" w:color="auto" w:fill="auto"/>
            <w:vAlign w:val="center"/>
          </w:tcPr>
          <w:p>
            <w:pPr>
              <w:jc w:val="center"/>
              <w:rPr>
                <w:rFonts w:hint="eastAsia" w:ascii="宋体" w:hAnsi="宋体"/>
                <w:color w:val="000000" w:themeColor="text1"/>
                <w14:textFill>
                  <w14:solidFill>
                    <w14:schemeClr w14:val="tx1"/>
                  </w14:solidFill>
                </w14:textFill>
              </w:rPr>
            </w:pPr>
          </w:p>
        </w:tc>
        <w:tc>
          <w:tcPr>
            <w:tcW w:w="1013" w:type="dxa"/>
            <w:vMerge w:val="continue"/>
            <w:shd w:val="clear" w:color="auto" w:fill="auto"/>
          </w:tcPr>
          <w:p>
            <w:pPr>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249" w:type="dxa"/>
            <w:vMerge w:val="restart"/>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w:t>
            </w:r>
            <w:r>
              <w:rPr>
                <w:rFonts w:ascii="宋体" w:hAnsi="宋体"/>
                <w:color w:val="000000" w:themeColor="text1"/>
                <w14:textFill>
                  <w14:solidFill>
                    <w14:schemeClr w14:val="tx1"/>
                  </w14:solidFill>
                </w14:textFill>
              </w:rPr>
              <w:t>支持</w:t>
            </w:r>
          </w:p>
        </w:tc>
        <w:tc>
          <w:tcPr>
            <w:tcW w:w="1275" w:type="dxa"/>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现场</w:t>
            </w:r>
            <w:r>
              <w:rPr>
                <w:rFonts w:ascii="宋体" w:hAnsi="宋体"/>
                <w:color w:val="000000" w:themeColor="text1"/>
                <w14:textFill>
                  <w14:solidFill>
                    <w14:schemeClr w14:val="tx1"/>
                  </w14:solidFill>
                </w14:textFill>
              </w:rPr>
              <w:t>技术支持</w:t>
            </w:r>
          </w:p>
        </w:tc>
        <w:tc>
          <w:tcPr>
            <w:tcW w:w="2102" w:type="dxa"/>
            <w:shd w:val="clear" w:color="auto" w:fill="auto"/>
            <w:vAlign w:val="center"/>
          </w:tcPr>
          <w:p>
            <w:pP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提供存储资源分配、存储容灾配置日常运维服务及性能、配置信息收集</w:t>
            </w:r>
          </w:p>
        </w:tc>
        <w:tc>
          <w:tcPr>
            <w:tcW w:w="703" w:type="dxa"/>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w:t>
            </w:r>
          </w:p>
        </w:tc>
        <w:tc>
          <w:tcPr>
            <w:tcW w:w="693" w:type="dxa"/>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p>
        </w:tc>
        <w:tc>
          <w:tcPr>
            <w:tcW w:w="1231" w:type="dxa"/>
            <w:shd w:val="clear" w:color="auto" w:fill="auto"/>
            <w:vAlign w:val="center"/>
          </w:tcPr>
          <w:p>
            <w:pPr>
              <w:jc w:val="center"/>
              <w:rPr>
                <w:rFonts w:hint="eastAsia" w:ascii="宋体" w:hAnsi="宋体"/>
                <w:color w:val="000000" w:themeColor="text1"/>
                <w14:textFill>
                  <w14:solidFill>
                    <w14:schemeClr w14:val="tx1"/>
                  </w14:solidFill>
                </w14:textFill>
              </w:rPr>
            </w:pPr>
          </w:p>
        </w:tc>
        <w:tc>
          <w:tcPr>
            <w:tcW w:w="1013" w:type="dxa"/>
            <w:shd w:val="clear" w:color="auto" w:fill="auto"/>
          </w:tcPr>
          <w:p>
            <w:pPr>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1249" w:type="dxa"/>
            <w:vMerge w:val="continue"/>
            <w:shd w:val="clear" w:color="auto" w:fill="auto"/>
            <w:vAlign w:val="center"/>
          </w:tcPr>
          <w:p>
            <w:pPr>
              <w:jc w:val="center"/>
              <w:rPr>
                <w:rFonts w:hint="eastAsia" w:ascii="宋体" w:hAnsi="宋体"/>
                <w:b/>
                <w:color w:val="000000" w:themeColor="text1"/>
                <w14:textFill>
                  <w14:solidFill>
                    <w14:schemeClr w14:val="tx1"/>
                  </w14:solidFill>
                </w14:textFill>
              </w:rPr>
            </w:pPr>
          </w:p>
        </w:tc>
        <w:tc>
          <w:tcPr>
            <w:tcW w:w="1275" w:type="dxa"/>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远程</w:t>
            </w:r>
            <w:r>
              <w:rPr>
                <w:rFonts w:ascii="宋体" w:hAnsi="宋体"/>
                <w:color w:val="000000" w:themeColor="text1"/>
                <w14:textFill>
                  <w14:solidFill>
                    <w14:schemeClr w14:val="tx1"/>
                  </w14:solidFill>
                </w14:textFill>
              </w:rPr>
              <w:t>技术支持</w:t>
            </w:r>
          </w:p>
        </w:tc>
        <w:tc>
          <w:tcPr>
            <w:tcW w:w="2102" w:type="dxa"/>
            <w:shd w:val="clear" w:color="auto" w:fill="auto"/>
            <w:vAlign w:val="center"/>
          </w:tcPr>
          <w:p>
            <w:pPr>
              <w:rPr>
                <w:rFonts w:hint="eastAsia"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提供7*24小时电话服务，提供</w:t>
            </w:r>
            <w:r>
              <w:rPr>
                <w:rFonts w:ascii="宋体" w:hAnsi="宋体" w:cs="宋体"/>
                <w:color w:val="000000" w:themeColor="text1"/>
                <w:szCs w:val="21"/>
                <w14:textFill>
                  <w14:solidFill>
                    <w14:schemeClr w14:val="tx1"/>
                  </w14:solidFill>
                </w14:textFill>
              </w:rPr>
              <w:t>远程</w:t>
            </w:r>
            <w:r>
              <w:rPr>
                <w:rFonts w:hint="eastAsia" w:ascii="宋体" w:hAnsi="宋体" w:cs="宋体"/>
                <w:color w:val="000000" w:themeColor="text1"/>
                <w:szCs w:val="21"/>
                <w14:textFill>
                  <w14:solidFill>
                    <w14:schemeClr w14:val="tx1"/>
                  </w14:solidFill>
                </w14:textFill>
              </w:rPr>
              <w:t>远程诊断及技术支持</w:t>
            </w:r>
          </w:p>
        </w:tc>
        <w:tc>
          <w:tcPr>
            <w:tcW w:w="703" w:type="dxa"/>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w:t>
            </w:r>
          </w:p>
        </w:tc>
        <w:tc>
          <w:tcPr>
            <w:tcW w:w="693" w:type="dxa"/>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p>
        </w:tc>
        <w:tc>
          <w:tcPr>
            <w:tcW w:w="1231" w:type="dxa"/>
            <w:shd w:val="clear" w:color="auto" w:fill="auto"/>
            <w:vAlign w:val="center"/>
          </w:tcPr>
          <w:p>
            <w:pPr>
              <w:jc w:val="center"/>
              <w:rPr>
                <w:rFonts w:hint="eastAsia" w:ascii="宋体" w:hAnsi="宋体"/>
                <w:color w:val="000000" w:themeColor="text1"/>
                <w14:textFill>
                  <w14:solidFill>
                    <w14:schemeClr w14:val="tx1"/>
                  </w14:solidFill>
                </w14:textFill>
              </w:rPr>
            </w:pPr>
          </w:p>
        </w:tc>
        <w:tc>
          <w:tcPr>
            <w:tcW w:w="1013" w:type="dxa"/>
            <w:shd w:val="clear" w:color="auto" w:fill="auto"/>
          </w:tcPr>
          <w:p>
            <w:pPr>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249" w:type="dxa"/>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现场</w:t>
            </w:r>
            <w:r>
              <w:rPr>
                <w:rFonts w:ascii="宋体" w:hAnsi="宋体"/>
                <w:color w:val="000000" w:themeColor="text1"/>
                <w14:textFill>
                  <w14:solidFill>
                    <w14:schemeClr w14:val="tx1"/>
                  </w14:solidFill>
                </w14:textFill>
              </w:rPr>
              <w:t>备件</w:t>
            </w:r>
          </w:p>
        </w:tc>
        <w:tc>
          <w:tcPr>
            <w:tcW w:w="1275" w:type="dxa"/>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现场</w:t>
            </w:r>
            <w:r>
              <w:rPr>
                <w:rFonts w:ascii="宋体" w:hAnsi="宋体"/>
                <w:color w:val="000000" w:themeColor="text1"/>
                <w14:textFill>
                  <w14:solidFill>
                    <w14:schemeClr w14:val="tx1"/>
                  </w14:solidFill>
                </w14:textFill>
              </w:rPr>
              <w:t>备件</w:t>
            </w:r>
          </w:p>
        </w:tc>
        <w:tc>
          <w:tcPr>
            <w:tcW w:w="2102" w:type="dxa"/>
            <w:shd w:val="clear" w:color="auto" w:fill="auto"/>
            <w:vAlign w:val="center"/>
          </w:tcPr>
          <w:p>
            <w:pP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提供常用</w:t>
            </w:r>
            <w:r>
              <w:rPr>
                <w:rFonts w:ascii="宋体" w:hAnsi="宋体"/>
                <w:color w:val="000000" w:themeColor="text1"/>
                <w14:textFill>
                  <w14:solidFill>
                    <w14:schemeClr w14:val="tx1"/>
                  </w14:solidFill>
                </w14:textFill>
              </w:rPr>
              <w:t>现场备件，提高</w:t>
            </w:r>
            <w:r>
              <w:rPr>
                <w:rFonts w:hint="eastAsia" w:ascii="宋体" w:hAnsi="宋体"/>
                <w:color w:val="000000" w:themeColor="text1"/>
                <w14:textFill>
                  <w14:solidFill>
                    <w14:schemeClr w14:val="tx1"/>
                  </w14:solidFill>
                </w14:textFill>
              </w:rPr>
              <w:t>维修</w:t>
            </w:r>
            <w:r>
              <w:rPr>
                <w:rFonts w:ascii="宋体" w:hAnsi="宋体"/>
                <w:color w:val="000000" w:themeColor="text1"/>
                <w14:textFill>
                  <w14:solidFill>
                    <w14:schemeClr w14:val="tx1"/>
                  </w14:solidFill>
                </w14:textFill>
              </w:rPr>
              <w:t>效率</w:t>
            </w:r>
          </w:p>
        </w:tc>
        <w:tc>
          <w:tcPr>
            <w:tcW w:w="703" w:type="dxa"/>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w:t>
            </w:r>
          </w:p>
        </w:tc>
        <w:tc>
          <w:tcPr>
            <w:tcW w:w="693" w:type="dxa"/>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季度</w:t>
            </w:r>
          </w:p>
        </w:tc>
        <w:tc>
          <w:tcPr>
            <w:tcW w:w="1231" w:type="dxa"/>
            <w:shd w:val="clear" w:color="auto" w:fill="auto"/>
            <w:vAlign w:val="center"/>
          </w:tcPr>
          <w:p>
            <w:pPr>
              <w:jc w:val="center"/>
              <w:rPr>
                <w:rFonts w:hint="eastAsia" w:ascii="宋体" w:hAnsi="宋体"/>
                <w:color w:val="000000" w:themeColor="text1"/>
                <w14:textFill>
                  <w14:solidFill>
                    <w14:schemeClr w14:val="tx1"/>
                  </w14:solidFill>
                </w14:textFill>
              </w:rPr>
            </w:pPr>
          </w:p>
        </w:tc>
        <w:tc>
          <w:tcPr>
            <w:tcW w:w="1013" w:type="dxa"/>
            <w:shd w:val="clear" w:color="auto" w:fill="auto"/>
          </w:tcPr>
          <w:p>
            <w:pPr>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4626" w:type="dxa"/>
            <w:gridSpan w:val="3"/>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维保</w:t>
            </w:r>
            <w:r>
              <w:rPr>
                <w:rFonts w:ascii="宋体" w:hAnsi="宋体"/>
                <w:color w:val="000000" w:themeColor="text1"/>
                <w14:textFill>
                  <w14:solidFill>
                    <w14:schemeClr w14:val="tx1"/>
                  </w14:solidFill>
                </w14:textFill>
              </w:rPr>
              <w:t>服务完成情况</w:t>
            </w:r>
            <w:r>
              <w:rPr>
                <w:rFonts w:hint="eastAsia" w:ascii="宋体" w:hAnsi="宋体"/>
                <w:color w:val="000000" w:themeColor="text1"/>
                <w14:textFill>
                  <w14:solidFill>
                    <w14:schemeClr w14:val="tx1"/>
                  </w14:solidFill>
                </w14:textFill>
              </w:rPr>
              <w:t>（权重</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w:t>
            </w:r>
          </w:p>
        </w:tc>
        <w:tc>
          <w:tcPr>
            <w:tcW w:w="3640" w:type="dxa"/>
            <w:gridSpan w:val="4"/>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00</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4626" w:type="dxa"/>
            <w:gridSpan w:val="3"/>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维保服务</w:t>
            </w:r>
            <w:r>
              <w:rPr>
                <w:rFonts w:ascii="宋体" w:hAnsi="宋体"/>
                <w:color w:val="000000" w:themeColor="text1"/>
                <w14:textFill>
                  <w14:solidFill>
                    <w14:schemeClr w14:val="tx1"/>
                  </w14:solidFill>
                </w14:textFill>
              </w:rPr>
              <w:t>完成质量</w:t>
            </w:r>
            <w:r>
              <w:rPr>
                <w:rFonts w:hint="eastAsia" w:ascii="宋体" w:hAnsi="宋体"/>
                <w:color w:val="000000" w:themeColor="text1"/>
                <w14:textFill>
                  <w14:solidFill>
                    <w14:schemeClr w14:val="tx1"/>
                  </w14:solidFill>
                </w14:textFill>
              </w:rPr>
              <w:t>评估</w:t>
            </w:r>
          </w:p>
        </w:tc>
        <w:tc>
          <w:tcPr>
            <w:tcW w:w="3640" w:type="dxa"/>
            <w:gridSpan w:val="4"/>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优秀/优良/良好/较差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jc w:val="center"/>
        </w:trPr>
        <w:tc>
          <w:tcPr>
            <w:tcW w:w="4626" w:type="dxa"/>
            <w:gridSpan w:val="3"/>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甲方</w:t>
            </w:r>
            <w:r>
              <w:rPr>
                <w:rFonts w:ascii="宋体" w:hAnsi="宋体"/>
                <w:color w:val="000000" w:themeColor="text1"/>
                <w14:textFill>
                  <w14:solidFill>
                    <w14:schemeClr w14:val="tx1"/>
                  </w14:solidFill>
                </w14:textFill>
              </w:rPr>
              <w:t>人员</w:t>
            </w:r>
            <w:r>
              <w:rPr>
                <w:rFonts w:hint="eastAsia" w:ascii="宋体" w:hAnsi="宋体"/>
                <w:color w:val="000000" w:themeColor="text1"/>
                <w14:textFill>
                  <w14:solidFill>
                    <w14:schemeClr w14:val="tx1"/>
                  </w14:solidFill>
                </w14:textFill>
              </w:rPr>
              <w:t>意见、</w:t>
            </w:r>
            <w:r>
              <w:rPr>
                <w:rFonts w:ascii="宋体" w:hAnsi="宋体"/>
                <w:color w:val="000000" w:themeColor="text1"/>
                <w14:textFill>
                  <w14:solidFill>
                    <w14:schemeClr w14:val="tx1"/>
                  </w14:solidFill>
                </w14:textFill>
              </w:rPr>
              <w:t>签字</w:t>
            </w:r>
          </w:p>
        </w:tc>
        <w:tc>
          <w:tcPr>
            <w:tcW w:w="3640" w:type="dxa"/>
            <w:gridSpan w:val="4"/>
            <w:shd w:val="clear" w:color="auto" w:fill="auto"/>
            <w:vAlign w:val="center"/>
          </w:tcPr>
          <w:p>
            <w:pPr>
              <w:jc w:val="center"/>
              <w:rPr>
                <w:rFonts w:hint="eastAsia" w:ascii="宋体" w:hAnsi="宋体"/>
                <w:color w:val="000000" w:themeColor="text1"/>
                <w14:textFill>
                  <w14:solidFill>
                    <w14:schemeClr w14:val="tx1"/>
                  </w14:solidFill>
                </w14:textFill>
              </w:rPr>
            </w:pPr>
          </w:p>
          <w:p>
            <w:pPr>
              <w:jc w:val="center"/>
              <w:rPr>
                <w:rFonts w:hint="eastAsia" w:ascii="宋体" w:hAnsi="宋体"/>
                <w:color w:val="000000" w:themeColor="text1"/>
                <w14:textFill>
                  <w14:solidFill>
                    <w14:schemeClr w14:val="tx1"/>
                  </w14:solidFill>
                </w14:textFill>
              </w:rPr>
            </w:pPr>
          </w:p>
          <w:p>
            <w:pPr>
              <w:jc w:val="center"/>
              <w:rPr>
                <w:rFonts w:hint="eastAsia" w:ascii="宋体" w:hAnsi="宋体"/>
                <w:color w:val="000000" w:themeColor="text1"/>
                <w14:textFill>
                  <w14:solidFill>
                    <w14:schemeClr w14:val="tx1"/>
                  </w14:solidFill>
                </w14:textFill>
              </w:rPr>
            </w:pPr>
          </w:p>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签字</w:t>
            </w:r>
            <w:r>
              <w:rPr>
                <w:rFonts w:ascii="宋体" w:hAnsi="宋体"/>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4626" w:type="dxa"/>
            <w:gridSpan w:val="3"/>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乙方</w:t>
            </w:r>
            <w:r>
              <w:rPr>
                <w:rFonts w:ascii="宋体" w:hAnsi="宋体"/>
                <w:color w:val="000000" w:themeColor="text1"/>
                <w14:textFill>
                  <w14:solidFill>
                    <w14:schemeClr w14:val="tx1"/>
                  </w14:solidFill>
                </w14:textFill>
              </w:rPr>
              <w:t>工程师</w:t>
            </w:r>
            <w:r>
              <w:rPr>
                <w:rFonts w:hint="eastAsia" w:ascii="宋体" w:hAnsi="宋体"/>
                <w:color w:val="000000" w:themeColor="text1"/>
                <w14:textFill>
                  <w14:solidFill>
                    <w14:schemeClr w14:val="tx1"/>
                  </w14:solidFill>
                </w14:textFill>
              </w:rPr>
              <w:t>签字</w:t>
            </w:r>
          </w:p>
        </w:tc>
        <w:tc>
          <w:tcPr>
            <w:tcW w:w="3640" w:type="dxa"/>
            <w:gridSpan w:val="4"/>
            <w:shd w:val="clear" w:color="auto" w:fill="auto"/>
            <w:vAlign w:val="center"/>
          </w:tcPr>
          <w:p>
            <w:pPr>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4626" w:type="dxa"/>
            <w:gridSpan w:val="3"/>
            <w:shd w:val="clear" w:color="auto" w:fill="auto"/>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日期</w:t>
            </w:r>
          </w:p>
        </w:tc>
        <w:tc>
          <w:tcPr>
            <w:tcW w:w="3640" w:type="dxa"/>
            <w:gridSpan w:val="4"/>
            <w:shd w:val="clear" w:color="auto" w:fill="auto"/>
            <w:vAlign w:val="center"/>
          </w:tcPr>
          <w:p>
            <w:pPr>
              <w:jc w:val="center"/>
              <w:rPr>
                <w:rFonts w:hint="eastAsia" w:ascii="宋体" w:hAnsi="宋体"/>
                <w:color w:val="000000" w:themeColor="text1"/>
                <w14:textFill>
                  <w14:solidFill>
                    <w14:schemeClr w14:val="tx1"/>
                  </w14:solidFill>
                </w14:textFill>
              </w:rPr>
            </w:pPr>
          </w:p>
        </w:tc>
      </w:tr>
    </w:tbl>
    <w:p>
      <w:pPr>
        <w:rPr>
          <w:rFonts w:hint="eastAsia"/>
          <w:sz w:val="28"/>
          <w:szCs w:val="28"/>
        </w:rPr>
      </w:pPr>
    </w:p>
    <w:sectPr>
      <w:headerReference r:id="rId3" w:type="default"/>
      <w:pgSz w:w="11906" w:h="16838"/>
      <w:pgMar w:top="1134" w:right="1134" w:bottom="113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hint="eastAsia"/>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020A"/>
    <w:multiLevelType w:val="multilevel"/>
    <w:tmpl w:val="20C9020A"/>
    <w:lvl w:ilvl="0" w:tentative="0">
      <w:start w:val="1"/>
      <w:numFmt w:val="japaneseCounting"/>
      <w:lvlText w:val="%1、"/>
      <w:lvlJc w:val="left"/>
      <w:pPr>
        <w:tabs>
          <w:tab w:val="left" w:pos="720"/>
        </w:tabs>
        <w:ind w:left="720" w:hanging="720"/>
      </w:pPr>
      <w:rPr>
        <w:rFonts w:hint="default"/>
        <w:b w:val="0"/>
        <w:color w:val="auto"/>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9E252B7"/>
    <w:multiLevelType w:val="multilevel"/>
    <w:tmpl w:val="39E252B7"/>
    <w:lvl w:ilvl="0" w:tentative="0">
      <w:start w:val="5"/>
      <w:numFmt w:val="decimal"/>
      <w:lvlText w:val="%1"/>
      <w:lvlJc w:val="left"/>
      <w:pPr>
        <w:ind w:left="360" w:hanging="360"/>
      </w:pPr>
      <w:rPr>
        <w:rFonts w:hint="default"/>
      </w:rPr>
    </w:lvl>
    <w:lvl w:ilvl="1" w:tentative="0">
      <w:start w:val="6"/>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3240" w:hanging="144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4320" w:hanging="1800"/>
      </w:pPr>
      <w:rPr>
        <w:rFonts w:hint="default"/>
      </w:rPr>
    </w:lvl>
    <w:lvl w:ilvl="8" w:tentative="0">
      <w:start w:val="1"/>
      <w:numFmt w:val="decimal"/>
      <w:lvlText w:val="%1.%2.%3.%4.%5.%6.%7.%8.%9"/>
      <w:lvlJc w:val="left"/>
      <w:pPr>
        <w:ind w:left="5040" w:hanging="2160"/>
      </w:pPr>
      <w:rPr>
        <w:rFonts w:hint="default"/>
      </w:rPr>
    </w:lvl>
  </w:abstractNum>
  <w:abstractNum w:abstractNumId="2">
    <w:nsid w:val="4A5018A5"/>
    <w:multiLevelType w:val="multilevel"/>
    <w:tmpl w:val="4A5018A5"/>
    <w:lvl w:ilvl="0" w:tentative="0">
      <w:start w:val="5"/>
      <w:numFmt w:val="decimal"/>
      <w:lvlText w:val="%1"/>
      <w:lvlJc w:val="left"/>
      <w:pPr>
        <w:ind w:left="360" w:hanging="360"/>
      </w:pPr>
      <w:rPr>
        <w:rFonts w:hint="default"/>
      </w:rPr>
    </w:lvl>
    <w:lvl w:ilvl="1" w:tentative="0">
      <w:start w:val="1"/>
      <w:numFmt w:val="decimal"/>
      <w:lvlText w:val="%1.%2"/>
      <w:lvlJc w:val="left"/>
      <w:pPr>
        <w:ind w:left="800" w:hanging="360"/>
      </w:pPr>
      <w:rPr>
        <w:rFonts w:hint="default"/>
      </w:rPr>
    </w:lvl>
    <w:lvl w:ilvl="2" w:tentative="0">
      <w:start w:val="1"/>
      <w:numFmt w:val="decimal"/>
      <w:lvlText w:val="%1.%2.%3"/>
      <w:lvlJc w:val="left"/>
      <w:pPr>
        <w:ind w:left="1600" w:hanging="720"/>
      </w:pPr>
      <w:rPr>
        <w:rFonts w:hint="default"/>
      </w:rPr>
    </w:lvl>
    <w:lvl w:ilvl="3" w:tentative="0">
      <w:start w:val="1"/>
      <w:numFmt w:val="decimal"/>
      <w:lvlText w:val="%1.%2.%3.%4"/>
      <w:lvlJc w:val="left"/>
      <w:pPr>
        <w:ind w:left="2400" w:hanging="1080"/>
      </w:pPr>
      <w:rPr>
        <w:rFonts w:hint="default"/>
      </w:rPr>
    </w:lvl>
    <w:lvl w:ilvl="4" w:tentative="0">
      <w:start w:val="1"/>
      <w:numFmt w:val="decimal"/>
      <w:lvlText w:val="%1.%2.%3.%4.%5"/>
      <w:lvlJc w:val="left"/>
      <w:pPr>
        <w:ind w:left="2840" w:hanging="1080"/>
      </w:pPr>
      <w:rPr>
        <w:rFonts w:hint="default"/>
      </w:rPr>
    </w:lvl>
    <w:lvl w:ilvl="5" w:tentative="0">
      <w:start w:val="1"/>
      <w:numFmt w:val="decimal"/>
      <w:lvlText w:val="%1.%2.%3.%4.%5.%6"/>
      <w:lvlJc w:val="left"/>
      <w:pPr>
        <w:ind w:left="3640" w:hanging="1440"/>
      </w:pPr>
      <w:rPr>
        <w:rFonts w:hint="default"/>
      </w:rPr>
    </w:lvl>
    <w:lvl w:ilvl="6" w:tentative="0">
      <w:start w:val="1"/>
      <w:numFmt w:val="decimal"/>
      <w:lvlText w:val="%1.%2.%3.%4.%5.%6.%7"/>
      <w:lvlJc w:val="left"/>
      <w:pPr>
        <w:ind w:left="4080" w:hanging="1440"/>
      </w:pPr>
      <w:rPr>
        <w:rFonts w:hint="default"/>
      </w:rPr>
    </w:lvl>
    <w:lvl w:ilvl="7" w:tentative="0">
      <w:start w:val="1"/>
      <w:numFmt w:val="decimal"/>
      <w:lvlText w:val="%1.%2.%3.%4.%5.%6.%7.%8"/>
      <w:lvlJc w:val="left"/>
      <w:pPr>
        <w:ind w:left="4880" w:hanging="1800"/>
      </w:pPr>
      <w:rPr>
        <w:rFonts w:hint="default"/>
      </w:rPr>
    </w:lvl>
    <w:lvl w:ilvl="8" w:tentative="0">
      <w:start w:val="1"/>
      <w:numFmt w:val="decimal"/>
      <w:lvlText w:val="%1.%2.%3.%4.%5.%6.%7.%8.%9"/>
      <w:lvlJc w:val="left"/>
      <w:pPr>
        <w:ind w:left="5680" w:hanging="2160"/>
      </w:pPr>
      <w:rPr>
        <w:rFonts w:hint="default"/>
      </w:rPr>
    </w:lvl>
  </w:abstractNum>
  <w:abstractNum w:abstractNumId="3">
    <w:nsid w:val="51B85782"/>
    <w:multiLevelType w:val="multilevel"/>
    <w:tmpl w:val="51B8578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4CD"/>
    <w:rsid w:val="00012009"/>
    <w:rsid w:val="0001744E"/>
    <w:rsid w:val="00022365"/>
    <w:rsid w:val="00027F47"/>
    <w:rsid w:val="0003694F"/>
    <w:rsid w:val="00056AE8"/>
    <w:rsid w:val="0009409C"/>
    <w:rsid w:val="000A30BA"/>
    <w:rsid w:val="000A6E92"/>
    <w:rsid w:val="000C39DA"/>
    <w:rsid w:val="00105F29"/>
    <w:rsid w:val="00110FDB"/>
    <w:rsid w:val="00176753"/>
    <w:rsid w:val="00184772"/>
    <w:rsid w:val="001A6724"/>
    <w:rsid w:val="001C5DEA"/>
    <w:rsid w:val="001E45DE"/>
    <w:rsid w:val="00225829"/>
    <w:rsid w:val="00231B45"/>
    <w:rsid w:val="0026645C"/>
    <w:rsid w:val="00277D4A"/>
    <w:rsid w:val="00281FB8"/>
    <w:rsid w:val="002D3062"/>
    <w:rsid w:val="002D4878"/>
    <w:rsid w:val="002D5D64"/>
    <w:rsid w:val="002E1AA8"/>
    <w:rsid w:val="002E4CA8"/>
    <w:rsid w:val="002F417F"/>
    <w:rsid w:val="0030353A"/>
    <w:rsid w:val="00315E99"/>
    <w:rsid w:val="003232DC"/>
    <w:rsid w:val="003260A2"/>
    <w:rsid w:val="00364EA0"/>
    <w:rsid w:val="0039338A"/>
    <w:rsid w:val="003E017D"/>
    <w:rsid w:val="003E500F"/>
    <w:rsid w:val="003E6487"/>
    <w:rsid w:val="003F6CF1"/>
    <w:rsid w:val="00423DA3"/>
    <w:rsid w:val="004473EE"/>
    <w:rsid w:val="004C5B3C"/>
    <w:rsid w:val="004F2566"/>
    <w:rsid w:val="004F755A"/>
    <w:rsid w:val="00522515"/>
    <w:rsid w:val="00564C67"/>
    <w:rsid w:val="00565443"/>
    <w:rsid w:val="005924E5"/>
    <w:rsid w:val="005C1E50"/>
    <w:rsid w:val="005E5D64"/>
    <w:rsid w:val="005F362A"/>
    <w:rsid w:val="0060039D"/>
    <w:rsid w:val="006161B0"/>
    <w:rsid w:val="00617852"/>
    <w:rsid w:val="00633F8D"/>
    <w:rsid w:val="00663A7C"/>
    <w:rsid w:val="00683E32"/>
    <w:rsid w:val="006A6995"/>
    <w:rsid w:val="006B5D0A"/>
    <w:rsid w:val="006D20C7"/>
    <w:rsid w:val="006D45B3"/>
    <w:rsid w:val="006D7CAE"/>
    <w:rsid w:val="00710425"/>
    <w:rsid w:val="0073628E"/>
    <w:rsid w:val="007604CD"/>
    <w:rsid w:val="007A2311"/>
    <w:rsid w:val="007C52F9"/>
    <w:rsid w:val="007F62D7"/>
    <w:rsid w:val="00803E58"/>
    <w:rsid w:val="00824DF2"/>
    <w:rsid w:val="008668A4"/>
    <w:rsid w:val="00880B49"/>
    <w:rsid w:val="008A2700"/>
    <w:rsid w:val="008B361F"/>
    <w:rsid w:val="008E16B4"/>
    <w:rsid w:val="00916524"/>
    <w:rsid w:val="009419F4"/>
    <w:rsid w:val="009428BE"/>
    <w:rsid w:val="00946046"/>
    <w:rsid w:val="009C6284"/>
    <w:rsid w:val="009E145F"/>
    <w:rsid w:val="009E3B2A"/>
    <w:rsid w:val="009F3CF4"/>
    <w:rsid w:val="009F68D3"/>
    <w:rsid w:val="00A018C9"/>
    <w:rsid w:val="00A11B3B"/>
    <w:rsid w:val="00A27EA2"/>
    <w:rsid w:val="00A65B98"/>
    <w:rsid w:val="00A6691C"/>
    <w:rsid w:val="00A9520C"/>
    <w:rsid w:val="00AC3314"/>
    <w:rsid w:val="00B52FD1"/>
    <w:rsid w:val="00B67493"/>
    <w:rsid w:val="00B774D8"/>
    <w:rsid w:val="00B81B2F"/>
    <w:rsid w:val="00B81D92"/>
    <w:rsid w:val="00B85AE6"/>
    <w:rsid w:val="00B87FCE"/>
    <w:rsid w:val="00BA1024"/>
    <w:rsid w:val="00BB25A5"/>
    <w:rsid w:val="00BB6532"/>
    <w:rsid w:val="00BB6DE2"/>
    <w:rsid w:val="00BC69FC"/>
    <w:rsid w:val="00BD34CC"/>
    <w:rsid w:val="00BE394A"/>
    <w:rsid w:val="00BF342A"/>
    <w:rsid w:val="00BF6841"/>
    <w:rsid w:val="00C24A6F"/>
    <w:rsid w:val="00C40A98"/>
    <w:rsid w:val="00C524CD"/>
    <w:rsid w:val="00C6063B"/>
    <w:rsid w:val="00C92FB5"/>
    <w:rsid w:val="00CA47A6"/>
    <w:rsid w:val="00D10154"/>
    <w:rsid w:val="00D35D84"/>
    <w:rsid w:val="00D47828"/>
    <w:rsid w:val="00D63167"/>
    <w:rsid w:val="00D67BF8"/>
    <w:rsid w:val="00D731FC"/>
    <w:rsid w:val="00D732D2"/>
    <w:rsid w:val="00DC3FFE"/>
    <w:rsid w:val="00DC6F8C"/>
    <w:rsid w:val="00DD3AB8"/>
    <w:rsid w:val="00E0640F"/>
    <w:rsid w:val="00E2424F"/>
    <w:rsid w:val="00E316B2"/>
    <w:rsid w:val="00E3410F"/>
    <w:rsid w:val="00E36940"/>
    <w:rsid w:val="00E45F35"/>
    <w:rsid w:val="00E83BAE"/>
    <w:rsid w:val="00E9051B"/>
    <w:rsid w:val="00EB234D"/>
    <w:rsid w:val="00F144C7"/>
    <w:rsid w:val="00F17E0F"/>
    <w:rsid w:val="00F2307B"/>
    <w:rsid w:val="00F443FC"/>
    <w:rsid w:val="00F73D1A"/>
    <w:rsid w:val="00F90963"/>
    <w:rsid w:val="10A675C6"/>
    <w:rsid w:val="338C736A"/>
    <w:rsid w:val="380C61F6"/>
    <w:rsid w:val="49265903"/>
    <w:rsid w:val="54007672"/>
    <w:rsid w:val="5D4114F7"/>
    <w:rsid w:val="798D4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qFormat="1" w:unhideWhenUsed="0" w:uiPriority="0" w:name="toc 4"/>
    <w:lsdException w:unhideWhenUsed="0" w:uiPriority="0" w:name="toc 5"/>
    <w:lsdException w:unhideWhenUsed="0" w:uiPriority="0" w:name="toc 6"/>
    <w:lsdException w:qFormat="1" w:unhideWhenUsed="0" w:uiPriority="0" w:name="toc 7"/>
    <w:lsdException w:unhideWhenUsed="0" w:uiPriority="0" w:name="toc 8"/>
    <w:lsdException w:unhideWhenUsed="0" w:uiPriority="0"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outlineLvl w:val="0"/>
    </w:pPr>
    <w:rPr>
      <w:rFonts w:ascii="宋体" w:hAnsi="Times New Roman" w:eastAsia="宋体" w:cs="Times New Roman"/>
      <w:b/>
      <w:color w:val="000000"/>
      <w:sz w:val="24"/>
      <w:szCs w:val="20"/>
    </w:rPr>
  </w:style>
  <w:style w:type="paragraph" w:styleId="3">
    <w:name w:val="heading 2"/>
    <w:basedOn w:val="1"/>
    <w:next w:val="1"/>
    <w:link w:val="30"/>
    <w:qFormat/>
    <w:uiPriority w:val="0"/>
    <w:pPr>
      <w:keepNext/>
      <w:outlineLvl w:val="1"/>
    </w:pPr>
    <w:rPr>
      <w:rFonts w:ascii="幼圆" w:hAnsi="Times New Roman" w:eastAsia="幼圆" w:cs="Times New Roman"/>
      <w:b/>
      <w:color w:val="0000FF"/>
      <w:sz w:val="16"/>
      <w:szCs w:val="24"/>
    </w:rPr>
  </w:style>
  <w:style w:type="paragraph" w:styleId="4">
    <w:name w:val="heading 3"/>
    <w:basedOn w:val="1"/>
    <w:next w:val="1"/>
    <w:link w:val="44"/>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7">
    <w:name w:val="Normal Table"/>
    <w:semiHidden/>
    <w:unhideWhenUsed/>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0"/>
    <w:pPr>
      <w:ind w:left="1050"/>
      <w:jc w:val="left"/>
    </w:pPr>
    <w:rPr>
      <w:rFonts w:ascii="Times New Roman" w:hAnsi="Times New Roman" w:eastAsia="宋体" w:cs="Times New Roman"/>
      <w:sz w:val="20"/>
      <w:szCs w:val="20"/>
    </w:rPr>
  </w:style>
  <w:style w:type="paragraph" w:styleId="6">
    <w:name w:val="Body Text"/>
    <w:basedOn w:val="1"/>
    <w:link w:val="34"/>
    <w:uiPriority w:val="0"/>
    <w:rPr>
      <w:rFonts w:ascii="Times New Roman" w:hAnsi="Times New Roman" w:eastAsia="宋体" w:cs="Times New Roman"/>
      <w:sz w:val="24"/>
      <w:szCs w:val="24"/>
    </w:rPr>
  </w:style>
  <w:style w:type="paragraph" w:styleId="7">
    <w:name w:val="Body Text Indent"/>
    <w:basedOn w:val="1"/>
    <w:link w:val="31"/>
    <w:qFormat/>
    <w:uiPriority w:val="0"/>
    <w:pPr>
      <w:spacing w:line="360" w:lineRule="auto"/>
      <w:ind w:firstLine="540" w:firstLineChars="225"/>
    </w:pPr>
    <w:rPr>
      <w:rFonts w:ascii="Times New Roman" w:hAnsi="Times New Roman" w:eastAsia="宋体" w:cs="Times New Roman"/>
      <w:sz w:val="24"/>
      <w:szCs w:val="24"/>
    </w:rPr>
  </w:style>
  <w:style w:type="paragraph" w:styleId="8">
    <w:name w:val="toc 5"/>
    <w:basedOn w:val="1"/>
    <w:next w:val="1"/>
    <w:semiHidden/>
    <w:uiPriority w:val="0"/>
    <w:pPr>
      <w:ind w:left="630"/>
      <w:jc w:val="left"/>
    </w:pPr>
    <w:rPr>
      <w:rFonts w:ascii="Times New Roman" w:hAnsi="Times New Roman" w:eastAsia="宋体" w:cs="Times New Roman"/>
      <w:sz w:val="20"/>
      <w:szCs w:val="20"/>
    </w:rPr>
  </w:style>
  <w:style w:type="paragraph" w:styleId="9">
    <w:name w:val="toc 3"/>
    <w:basedOn w:val="1"/>
    <w:next w:val="1"/>
    <w:semiHidden/>
    <w:uiPriority w:val="0"/>
    <w:pPr>
      <w:ind w:left="210"/>
      <w:jc w:val="left"/>
    </w:pPr>
    <w:rPr>
      <w:rFonts w:ascii="Times New Roman" w:hAnsi="Times New Roman" w:eastAsia="宋体" w:cs="Times New Roman"/>
      <w:sz w:val="20"/>
      <w:szCs w:val="20"/>
    </w:rPr>
  </w:style>
  <w:style w:type="paragraph" w:styleId="10">
    <w:name w:val="toc 8"/>
    <w:basedOn w:val="1"/>
    <w:next w:val="1"/>
    <w:semiHidden/>
    <w:uiPriority w:val="0"/>
    <w:pPr>
      <w:ind w:left="1260"/>
      <w:jc w:val="left"/>
    </w:pPr>
    <w:rPr>
      <w:rFonts w:ascii="Times New Roman" w:hAnsi="Times New Roman" w:eastAsia="宋体" w:cs="Times New Roman"/>
      <w:sz w:val="20"/>
      <w:szCs w:val="20"/>
    </w:rPr>
  </w:style>
  <w:style w:type="paragraph" w:styleId="11">
    <w:name w:val="Date"/>
    <w:basedOn w:val="1"/>
    <w:next w:val="1"/>
    <w:link w:val="35"/>
    <w:uiPriority w:val="0"/>
    <w:pPr>
      <w:ind w:left="100" w:leftChars="2500"/>
    </w:pPr>
    <w:rPr>
      <w:rFonts w:ascii="Times New Roman" w:hAnsi="Times New Roman" w:eastAsia="宋体" w:cs="Times New Roman"/>
      <w:sz w:val="24"/>
      <w:szCs w:val="24"/>
    </w:rPr>
  </w:style>
  <w:style w:type="paragraph" w:styleId="12">
    <w:name w:val="Body Text Indent 2"/>
    <w:basedOn w:val="1"/>
    <w:link w:val="32"/>
    <w:uiPriority w:val="0"/>
    <w:pPr>
      <w:spacing w:line="360" w:lineRule="auto"/>
      <w:ind w:left="540" w:firstLine="540" w:firstLineChars="225"/>
    </w:pPr>
    <w:rPr>
      <w:rFonts w:ascii="Times New Roman" w:hAnsi="Times New Roman" w:eastAsia="宋体" w:cs="Times New Roman"/>
      <w:sz w:val="24"/>
      <w:szCs w:val="24"/>
    </w:rPr>
  </w:style>
  <w:style w:type="paragraph" w:styleId="13">
    <w:name w:val="Balloon Text"/>
    <w:basedOn w:val="1"/>
    <w:link w:val="40"/>
    <w:uiPriority w:val="0"/>
    <w:rPr>
      <w:rFonts w:ascii="Times New Roman" w:hAnsi="Times New Roman" w:eastAsia="宋体" w:cs="Times New Roman"/>
      <w:sz w:val="18"/>
      <w:szCs w:val="18"/>
    </w:rPr>
  </w:style>
  <w:style w:type="paragraph" w:styleId="14">
    <w:name w:val="footer"/>
    <w:basedOn w:val="1"/>
    <w:link w:val="37"/>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5">
    <w:name w:val="header"/>
    <w:basedOn w:val="1"/>
    <w:link w:val="36"/>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6">
    <w:name w:val="toc 1"/>
    <w:basedOn w:val="1"/>
    <w:next w:val="1"/>
    <w:semiHidden/>
    <w:uiPriority w:val="0"/>
    <w:pPr>
      <w:spacing w:before="360"/>
      <w:jc w:val="left"/>
    </w:pPr>
    <w:rPr>
      <w:rFonts w:ascii="Arial" w:hAnsi="Arial" w:eastAsia="宋体" w:cs="Arial"/>
      <w:b/>
      <w:bCs/>
      <w:caps/>
      <w:sz w:val="24"/>
      <w:szCs w:val="24"/>
    </w:rPr>
  </w:style>
  <w:style w:type="paragraph" w:styleId="17">
    <w:name w:val="toc 4"/>
    <w:basedOn w:val="1"/>
    <w:next w:val="1"/>
    <w:semiHidden/>
    <w:qFormat/>
    <w:uiPriority w:val="0"/>
    <w:pPr>
      <w:ind w:left="420"/>
      <w:jc w:val="left"/>
    </w:pPr>
    <w:rPr>
      <w:rFonts w:ascii="Times New Roman" w:hAnsi="Times New Roman" w:eastAsia="宋体" w:cs="Times New Roman"/>
      <w:sz w:val="20"/>
      <w:szCs w:val="20"/>
    </w:rPr>
  </w:style>
  <w:style w:type="paragraph" w:styleId="18">
    <w:name w:val="toc 6"/>
    <w:basedOn w:val="1"/>
    <w:next w:val="1"/>
    <w:semiHidden/>
    <w:uiPriority w:val="0"/>
    <w:pPr>
      <w:ind w:left="840"/>
      <w:jc w:val="left"/>
    </w:pPr>
    <w:rPr>
      <w:rFonts w:ascii="Times New Roman" w:hAnsi="Times New Roman" w:eastAsia="宋体" w:cs="Times New Roman"/>
      <w:sz w:val="20"/>
      <w:szCs w:val="20"/>
    </w:rPr>
  </w:style>
  <w:style w:type="paragraph" w:styleId="19">
    <w:name w:val="Body Text Indent 3"/>
    <w:basedOn w:val="1"/>
    <w:link w:val="33"/>
    <w:uiPriority w:val="0"/>
    <w:pPr>
      <w:tabs>
        <w:tab w:val="left" w:pos="1800"/>
      </w:tabs>
      <w:spacing w:line="360" w:lineRule="auto"/>
      <w:ind w:left="900" w:firstLine="540" w:firstLineChars="225"/>
    </w:pPr>
    <w:rPr>
      <w:rFonts w:ascii="Times New Roman" w:hAnsi="Times New Roman" w:eastAsia="宋体" w:cs="Times New Roman"/>
      <w:sz w:val="24"/>
      <w:szCs w:val="24"/>
    </w:rPr>
  </w:style>
  <w:style w:type="paragraph" w:styleId="20">
    <w:name w:val="toc 2"/>
    <w:basedOn w:val="1"/>
    <w:next w:val="1"/>
    <w:semiHidden/>
    <w:uiPriority w:val="0"/>
    <w:pPr>
      <w:spacing w:before="240"/>
      <w:jc w:val="left"/>
    </w:pPr>
    <w:rPr>
      <w:rFonts w:ascii="Times New Roman" w:hAnsi="Times New Roman" w:eastAsia="宋体" w:cs="Times New Roman"/>
      <w:b/>
      <w:bCs/>
      <w:sz w:val="20"/>
      <w:szCs w:val="20"/>
    </w:rPr>
  </w:style>
  <w:style w:type="paragraph" w:styleId="21">
    <w:name w:val="toc 9"/>
    <w:basedOn w:val="1"/>
    <w:next w:val="1"/>
    <w:semiHidden/>
    <w:uiPriority w:val="0"/>
    <w:pPr>
      <w:ind w:left="1470"/>
      <w:jc w:val="left"/>
    </w:pPr>
    <w:rPr>
      <w:rFonts w:ascii="Times New Roman" w:hAnsi="Times New Roman" w:eastAsia="宋体" w:cs="Times New Roman"/>
      <w:sz w:val="20"/>
      <w:szCs w:val="20"/>
    </w:rPr>
  </w:style>
  <w:style w:type="character" w:styleId="23">
    <w:name w:val="Strong"/>
    <w:qFormat/>
    <w:uiPriority w:val="0"/>
    <w:rPr>
      <w:b/>
      <w:bCs/>
    </w:rPr>
  </w:style>
  <w:style w:type="character" w:styleId="24">
    <w:name w:val="page number"/>
    <w:basedOn w:val="22"/>
    <w:uiPriority w:val="0"/>
  </w:style>
  <w:style w:type="character" w:styleId="25">
    <w:name w:val="FollowedHyperlink"/>
    <w:uiPriority w:val="0"/>
    <w:rPr>
      <w:color w:val="800080"/>
      <w:u w:val="single"/>
    </w:rPr>
  </w:style>
  <w:style w:type="character" w:styleId="26">
    <w:name w:val="Hyperlink"/>
    <w:uiPriority w:val="0"/>
    <w:rPr>
      <w:color w:val="0000FF"/>
      <w:u w:val="single"/>
    </w:rPr>
  </w:style>
  <w:style w:type="table" w:styleId="28">
    <w:name w:val="Table Grid"/>
    <w:basedOn w:val="27"/>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标题 1 字符"/>
    <w:basedOn w:val="22"/>
    <w:link w:val="2"/>
    <w:uiPriority w:val="0"/>
    <w:rPr>
      <w:rFonts w:ascii="宋体" w:hAnsi="Times New Roman" w:eastAsia="宋体" w:cs="Times New Roman"/>
      <w:b/>
      <w:color w:val="000000"/>
      <w:sz w:val="24"/>
      <w:szCs w:val="20"/>
    </w:rPr>
  </w:style>
  <w:style w:type="character" w:customStyle="1" w:styleId="30">
    <w:name w:val="标题 2 字符"/>
    <w:basedOn w:val="22"/>
    <w:link w:val="3"/>
    <w:uiPriority w:val="0"/>
    <w:rPr>
      <w:rFonts w:ascii="幼圆" w:hAnsi="Times New Roman" w:eastAsia="幼圆" w:cs="Times New Roman"/>
      <w:b/>
      <w:color w:val="0000FF"/>
      <w:sz w:val="16"/>
      <w:szCs w:val="24"/>
    </w:rPr>
  </w:style>
  <w:style w:type="character" w:customStyle="1" w:styleId="31">
    <w:name w:val="正文文本缩进 字符"/>
    <w:basedOn w:val="22"/>
    <w:link w:val="7"/>
    <w:uiPriority w:val="0"/>
    <w:rPr>
      <w:rFonts w:ascii="Times New Roman" w:hAnsi="Times New Roman" w:eastAsia="宋体" w:cs="Times New Roman"/>
      <w:sz w:val="24"/>
      <w:szCs w:val="24"/>
    </w:rPr>
  </w:style>
  <w:style w:type="character" w:customStyle="1" w:styleId="32">
    <w:name w:val="正文文本缩进 2 字符"/>
    <w:basedOn w:val="22"/>
    <w:link w:val="12"/>
    <w:qFormat/>
    <w:uiPriority w:val="0"/>
    <w:rPr>
      <w:rFonts w:ascii="Times New Roman" w:hAnsi="Times New Roman" w:eastAsia="宋体" w:cs="Times New Roman"/>
      <w:sz w:val="24"/>
      <w:szCs w:val="24"/>
    </w:rPr>
  </w:style>
  <w:style w:type="character" w:customStyle="1" w:styleId="33">
    <w:name w:val="正文文本缩进 3 字符"/>
    <w:basedOn w:val="22"/>
    <w:link w:val="19"/>
    <w:uiPriority w:val="0"/>
    <w:rPr>
      <w:rFonts w:ascii="Times New Roman" w:hAnsi="Times New Roman" w:eastAsia="宋体" w:cs="Times New Roman"/>
      <w:sz w:val="24"/>
      <w:szCs w:val="24"/>
    </w:rPr>
  </w:style>
  <w:style w:type="character" w:customStyle="1" w:styleId="34">
    <w:name w:val="正文文本 字符"/>
    <w:basedOn w:val="22"/>
    <w:link w:val="6"/>
    <w:uiPriority w:val="0"/>
    <w:rPr>
      <w:rFonts w:ascii="Times New Roman" w:hAnsi="Times New Roman" w:eastAsia="宋体" w:cs="Times New Roman"/>
      <w:sz w:val="24"/>
      <w:szCs w:val="24"/>
    </w:rPr>
  </w:style>
  <w:style w:type="character" w:customStyle="1" w:styleId="35">
    <w:name w:val="日期 字符"/>
    <w:basedOn w:val="22"/>
    <w:link w:val="11"/>
    <w:uiPriority w:val="0"/>
    <w:rPr>
      <w:rFonts w:ascii="Times New Roman" w:hAnsi="Times New Roman" w:eastAsia="宋体" w:cs="Times New Roman"/>
      <w:sz w:val="24"/>
      <w:szCs w:val="24"/>
    </w:rPr>
  </w:style>
  <w:style w:type="character" w:customStyle="1" w:styleId="36">
    <w:name w:val="页眉 字符"/>
    <w:basedOn w:val="22"/>
    <w:link w:val="15"/>
    <w:uiPriority w:val="0"/>
    <w:rPr>
      <w:rFonts w:ascii="Times New Roman" w:hAnsi="Times New Roman" w:eastAsia="宋体" w:cs="Times New Roman"/>
      <w:sz w:val="18"/>
      <w:szCs w:val="18"/>
    </w:rPr>
  </w:style>
  <w:style w:type="character" w:customStyle="1" w:styleId="37">
    <w:name w:val="页脚 字符"/>
    <w:basedOn w:val="22"/>
    <w:link w:val="14"/>
    <w:uiPriority w:val="0"/>
    <w:rPr>
      <w:rFonts w:ascii="Times New Roman" w:hAnsi="Times New Roman" w:eastAsia="宋体" w:cs="Times New Roman"/>
      <w:sz w:val="18"/>
      <w:szCs w:val="18"/>
    </w:rPr>
  </w:style>
  <w:style w:type="character" w:customStyle="1" w:styleId="38">
    <w:name w:val="f141"/>
    <w:uiPriority w:val="0"/>
    <w:rPr>
      <w:spacing w:val="432"/>
      <w:sz w:val="20"/>
      <w:szCs w:val="20"/>
    </w:rPr>
  </w:style>
  <w:style w:type="character" w:customStyle="1" w:styleId="39">
    <w:name w:val="t21"/>
    <w:basedOn w:val="22"/>
    <w:uiPriority w:val="0"/>
  </w:style>
  <w:style w:type="character" w:customStyle="1" w:styleId="40">
    <w:name w:val="批注框文本 字符"/>
    <w:basedOn w:val="22"/>
    <w:link w:val="13"/>
    <w:uiPriority w:val="0"/>
    <w:rPr>
      <w:rFonts w:ascii="Times New Roman" w:hAnsi="Times New Roman" w:eastAsia="宋体" w:cs="Times New Roman"/>
      <w:sz w:val="18"/>
      <w:szCs w:val="18"/>
    </w:rPr>
  </w:style>
  <w:style w:type="paragraph" w:styleId="41">
    <w:name w:val="List Paragraph"/>
    <w:basedOn w:val="1"/>
    <w:qFormat/>
    <w:uiPriority w:val="34"/>
    <w:pPr>
      <w:ind w:firstLine="420" w:firstLineChars="200"/>
    </w:pPr>
    <w:rPr>
      <w:rFonts w:ascii="Times New Roman" w:hAnsi="Times New Roman" w:eastAsia="宋体" w:cs="Times New Roman"/>
      <w:szCs w:val="24"/>
    </w:rPr>
  </w:style>
  <w:style w:type="paragraph" w:customStyle="1" w:styleId="42">
    <w:name w:val="tytytyty"/>
    <w:basedOn w:val="1"/>
    <w:link w:val="43"/>
    <w:uiPriority w:val="0"/>
    <w:pPr>
      <w:spacing w:line="360" w:lineRule="auto"/>
      <w:ind w:left="359" w:leftChars="171" w:firstLine="480" w:firstLineChars="200"/>
    </w:pPr>
    <w:rPr>
      <w:rFonts w:ascii="Times New Roman" w:hAnsi="Times New Roman" w:eastAsia="宋体" w:cs="Times New Roman"/>
      <w:sz w:val="24"/>
      <w:szCs w:val="24"/>
      <w:lang w:val="zh-CN"/>
    </w:rPr>
  </w:style>
  <w:style w:type="character" w:customStyle="1" w:styleId="43">
    <w:name w:val="tytytyty Char1"/>
    <w:link w:val="42"/>
    <w:uiPriority w:val="0"/>
    <w:rPr>
      <w:rFonts w:ascii="Times New Roman" w:hAnsi="Times New Roman" w:eastAsia="宋体" w:cs="Times New Roman"/>
      <w:sz w:val="24"/>
      <w:szCs w:val="24"/>
      <w:lang w:val="zh-CN" w:eastAsia="zh-CN"/>
    </w:rPr>
  </w:style>
  <w:style w:type="character" w:customStyle="1" w:styleId="44">
    <w:name w:val="标题 3 字符"/>
    <w:basedOn w:val="22"/>
    <w:link w:val="4"/>
    <w:semiHidden/>
    <w:uiPriority w:val="9"/>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290</Words>
  <Characters>1657</Characters>
  <Lines>13</Lines>
  <Paragraphs>3</Paragraphs>
  <TotalTime>5</TotalTime>
  <ScaleCrop>false</ScaleCrop>
  <LinksUpToDate>false</LinksUpToDate>
  <CharactersWithSpaces>1944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2024-10-28T02:53:00Z</dcterms:created>
  <dc:creator>hui zhang</dc:creator>
  <cp:lastModifiedBy>Administrator</cp:lastModifiedBy>
  <dcterms:modified xsi:type="dcterms:W3CDTF">2024-10-28T09:46:35Z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