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65DA7">
      <w:pPr>
        <w:jc w:val="center"/>
        <w:rPr>
          <w:rFonts w:hint="eastAsia"/>
          <w:b/>
          <w:bCs/>
          <w:sz w:val="44"/>
          <w:szCs w:val="44"/>
          <w:lang w:eastAsia="zh-Hans"/>
        </w:rPr>
      </w:pPr>
      <w:r>
        <w:rPr>
          <w:rFonts w:hint="eastAsia"/>
          <w:b/>
          <w:bCs/>
          <w:sz w:val="44"/>
          <w:szCs w:val="44"/>
          <w:lang w:eastAsia="zh-Hans"/>
        </w:rPr>
        <w:t>海南省医</w:t>
      </w:r>
      <w:r>
        <w:rPr>
          <w:rFonts w:hint="eastAsia"/>
          <w:b/>
          <w:bCs/>
          <w:sz w:val="44"/>
          <w:szCs w:val="44"/>
        </w:rPr>
        <w:t>科大学</w:t>
      </w:r>
      <w:r>
        <w:rPr>
          <w:rFonts w:hint="eastAsia"/>
          <w:b/>
          <w:bCs/>
          <w:sz w:val="44"/>
          <w:szCs w:val="44"/>
          <w:lang w:eastAsia="zh-Hans"/>
        </w:rPr>
        <w:t>第二附属医院</w:t>
      </w:r>
    </w:p>
    <w:p w14:paraId="5F817A45">
      <w:pPr>
        <w:jc w:val="center"/>
        <w:rPr>
          <w:rFonts w:hint="eastAsia"/>
          <w:b/>
          <w:bCs/>
          <w:sz w:val="44"/>
          <w:szCs w:val="44"/>
          <w:lang w:eastAsia="zh-Hans"/>
        </w:rPr>
      </w:pPr>
      <w:r>
        <w:rPr>
          <w:rFonts w:hint="eastAsia"/>
          <w:b/>
          <w:bCs/>
          <w:sz w:val="44"/>
          <w:szCs w:val="44"/>
          <w:lang w:eastAsia="zh-Hans"/>
        </w:rPr>
        <w:t>安全防护服务采购需求书</w:t>
      </w:r>
    </w:p>
    <w:p w14:paraId="2E88DD78">
      <w:pPr>
        <w:pStyle w:val="2"/>
        <w:rPr>
          <w:rFonts w:hint="eastAsia"/>
        </w:rPr>
      </w:pPr>
      <w:bookmarkStart w:id="7" w:name="_GoBack"/>
      <w:bookmarkEnd w:id="7"/>
      <w:r>
        <w:rPr>
          <w:rFonts w:hint="eastAsia"/>
        </w:rPr>
        <w:t>服务范围及内容</w:t>
      </w:r>
    </w:p>
    <w:p w14:paraId="1F5AEB9A">
      <w:pPr>
        <w:pStyle w:val="3"/>
        <w:rPr>
          <w:rFonts w:hint="eastAsia"/>
        </w:rPr>
      </w:pPr>
      <w:r>
        <w:rPr>
          <w:rFonts w:hint="eastAsia"/>
          <w:lang w:eastAsia="zh-Hans"/>
        </w:rPr>
        <w:t>服务类别</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831"/>
        <w:gridCol w:w="5559"/>
      </w:tblGrid>
      <w:tr w14:paraId="5237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7DF160E7">
            <w:pPr>
              <w:jc w:val="center"/>
              <w:rPr>
                <w:rFonts w:hint="eastAsia"/>
                <w:b/>
                <w:bCs/>
              </w:rPr>
            </w:pPr>
            <w:r>
              <w:rPr>
                <w:rFonts w:hint="eastAsia"/>
                <w:b/>
                <w:bCs/>
              </w:rPr>
              <w:t>序号</w:t>
            </w:r>
          </w:p>
        </w:tc>
        <w:tc>
          <w:tcPr>
            <w:tcW w:w="1074" w:type="pct"/>
            <w:vAlign w:val="center"/>
          </w:tcPr>
          <w:p w14:paraId="1BC1289F">
            <w:pPr>
              <w:jc w:val="center"/>
              <w:rPr>
                <w:rFonts w:hint="eastAsia"/>
                <w:b/>
                <w:bCs/>
              </w:rPr>
            </w:pPr>
            <w:r>
              <w:rPr>
                <w:rFonts w:hint="eastAsia"/>
                <w:b/>
                <w:bCs/>
              </w:rPr>
              <w:t>服务类别</w:t>
            </w:r>
          </w:p>
        </w:tc>
        <w:tc>
          <w:tcPr>
            <w:tcW w:w="3261" w:type="pct"/>
            <w:vAlign w:val="center"/>
          </w:tcPr>
          <w:p w14:paraId="041D723E">
            <w:pPr>
              <w:jc w:val="center"/>
              <w:rPr>
                <w:rFonts w:hint="eastAsia"/>
                <w:b/>
                <w:bCs/>
              </w:rPr>
            </w:pPr>
            <w:r>
              <w:rPr>
                <w:rFonts w:hint="eastAsia"/>
                <w:b/>
                <w:bCs/>
              </w:rPr>
              <w:t>服务内容</w:t>
            </w:r>
          </w:p>
        </w:tc>
      </w:tr>
      <w:tr w14:paraId="4117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vAlign w:val="center"/>
          </w:tcPr>
          <w:p w14:paraId="7CBCA43E">
            <w:pPr>
              <w:jc w:val="center"/>
              <w:rPr>
                <w:rFonts w:hint="eastAsia"/>
              </w:rPr>
            </w:pPr>
            <w:r>
              <w:t>1</w:t>
            </w:r>
          </w:p>
        </w:tc>
        <w:tc>
          <w:tcPr>
            <w:tcW w:w="1074" w:type="pct"/>
            <w:vAlign w:val="center"/>
          </w:tcPr>
          <w:p w14:paraId="1727C696">
            <w:pPr>
              <w:jc w:val="center"/>
              <w:rPr>
                <w:rFonts w:hint="eastAsia"/>
                <w:lang w:eastAsia="zh-Hans"/>
              </w:rPr>
            </w:pPr>
            <w:r>
              <w:rPr>
                <w:rFonts w:hint="eastAsia"/>
                <w:lang w:eastAsia="zh-Hans"/>
              </w:rPr>
              <w:t>安全防护服务</w:t>
            </w:r>
          </w:p>
        </w:tc>
        <w:tc>
          <w:tcPr>
            <w:tcW w:w="3261" w:type="pct"/>
            <w:vAlign w:val="center"/>
          </w:tcPr>
          <w:p w14:paraId="216B163D">
            <w:pPr>
              <w:jc w:val="left"/>
              <w:rPr>
                <w:rFonts w:hint="eastAsia"/>
                <w:lang w:eastAsia="zh-Hans"/>
              </w:rPr>
            </w:pPr>
            <w:r>
              <w:rPr>
                <w:rFonts w:hint="eastAsia"/>
                <w:lang w:eastAsia="zh-Hans"/>
              </w:rPr>
              <w:t>根据医院目前信息化安全建设的情况，结合国家政策对信息化安全建设的要求，为了提高信息安全防护水平，</w:t>
            </w:r>
            <w:r>
              <w:rPr>
                <w:rFonts w:hint="eastAsia"/>
              </w:rPr>
              <w:t>向</w:t>
            </w:r>
            <w:r>
              <w:rPr>
                <w:rFonts w:hint="eastAsia"/>
                <w:lang w:eastAsia="zh-Hans"/>
              </w:rPr>
              <w:t>医院</w:t>
            </w:r>
            <w:r>
              <w:rPr>
                <w:rFonts w:hint="eastAsia"/>
              </w:rPr>
              <w:t>提供相应的安全</w:t>
            </w:r>
            <w:r>
              <w:rPr>
                <w:rFonts w:hint="eastAsia"/>
                <w:lang w:eastAsia="zh-Hans"/>
              </w:rPr>
              <w:t>服务，</w:t>
            </w:r>
            <w:r>
              <w:rPr>
                <w:rFonts w:hint="eastAsia"/>
              </w:rPr>
              <w:t>其内容包含服务工具的使用、服务工具</w:t>
            </w:r>
            <w:r>
              <w:rPr>
                <w:rFonts w:hint="eastAsia"/>
                <w:lang w:eastAsia="zh-Hans"/>
              </w:rPr>
              <w:t>规则库的升级以及巡检服务、维护服务等相关配套服务。</w:t>
            </w:r>
          </w:p>
        </w:tc>
      </w:tr>
    </w:tbl>
    <w:p w14:paraId="5DFA2CFA">
      <w:pPr>
        <w:pStyle w:val="3"/>
        <w:rPr>
          <w:rFonts w:hint="eastAsia"/>
        </w:rPr>
      </w:pPr>
      <w:r>
        <w:rPr>
          <w:rFonts w:hint="eastAsia"/>
        </w:rPr>
        <w:t>服务要求</w:t>
      </w:r>
    </w:p>
    <w:p w14:paraId="64DF289C">
      <w:pPr>
        <w:pStyle w:val="4"/>
        <w:numPr>
          <w:ilvl w:val="0"/>
          <w:numId w:val="0"/>
        </w:numPr>
        <w:jc w:val="left"/>
        <w:rPr>
          <w:rFonts w:hint="eastAsia"/>
        </w:rPr>
      </w:pPr>
      <w:r>
        <w:rPr>
          <w:rFonts w:hint="eastAsia"/>
        </w:rPr>
        <w:t>1.2.1互联网边界安全服务要求</w:t>
      </w:r>
    </w:p>
    <w:p w14:paraId="0323DF2D">
      <w:pPr>
        <w:ind w:firstLine="480" w:firstLineChars="200"/>
        <w:rPr>
          <w:rFonts w:hint="eastAsia"/>
        </w:rPr>
      </w:pPr>
      <w:r>
        <w:rPr>
          <w:rFonts w:hint="eastAsia"/>
        </w:rPr>
        <w:t>我院90%以上的员工需要每天使用PC终端办公，这些终端是和互联网进行“信息交换”的重要节点。但由于员工安全意识不足、能力水平参差不齐，使我单位的互联网出口安全存在一定隐患。据了解，80%的安全事件来自于终端，终端已经成为黑客的战略攻击点。</w:t>
      </w:r>
    </w:p>
    <w:p w14:paraId="173BECA2">
      <w:pPr>
        <w:ind w:firstLine="480" w:firstLineChars="200"/>
        <w:rPr>
          <w:rFonts w:hint="eastAsia"/>
        </w:rPr>
      </w:pPr>
      <w:r>
        <w:rPr>
          <w:rFonts w:hint="eastAsia"/>
        </w:rPr>
        <w:t>由于我单位的员工可以通过PC访问互联网，同时也可以访问数据中心的业务系统，若终端安全得不到保障可能引起对数据中心业务系统的安全威胁。现阶段，黑客攻击的目标是为了获取有价值的“数据”。控制终端以后，可以直接种植如勒索病毒进行敲诈勒索。更严重的是，我单位的存储着重要“数据”的服务器也可能因为终端被控制遭受被影响。受控的终端将成为黑客的跳板，通过失陷主机横向扫描内部网络，发现我单位网络中重要的服务器，从而对这些重要服务器造成威胁。</w:t>
      </w:r>
    </w:p>
    <w:p w14:paraId="2FEDBED1">
      <w:pPr>
        <w:ind w:firstLine="480" w:firstLineChars="200"/>
        <w:rPr>
          <w:rFonts w:hint="eastAsia"/>
        </w:rPr>
      </w:pPr>
      <w:r>
        <w:rPr>
          <w:rFonts w:hint="eastAsia"/>
        </w:rPr>
        <w:t>本次通过互联网边界安全服务需要解决以下几个问题：</w:t>
      </w:r>
    </w:p>
    <w:p w14:paraId="79AB1F1B">
      <w:pPr>
        <w:ind w:firstLine="480" w:firstLineChars="200"/>
        <w:rPr>
          <w:rFonts w:hint="eastAsia"/>
        </w:rPr>
      </w:pPr>
      <w:r>
        <w:rPr>
          <w:rFonts w:hint="eastAsia"/>
        </w:rPr>
        <w:t>（1）失陷主机</w:t>
      </w:r>
    </w:p>
    <w:p w14:paraId="393461CC">
      <w:pPr>
        <w:ind w:firstLine="480" w:firstLineChars="200"/>
        <w:rPr>
          <w:rFonts w:hint="eastAsia"/>
        </w:rPr>
      </w:pPr>
      <w:r>
        <w:rPr>
          <w:rFonts w:hint="eastAsia"/>
        </w:rPr>
        <w:t>本次服务需要防止访问互联网用户被互联网上的不法分子控制的风险；防止被控制的终端电脑被用来向外部发起攻击引起法律纠纷的风险；防止僵尸网络对内部系统造成拒绝服务攻击、对内部系统造成信息泄露等危害的风险。</w:t>
      </w:r>
    </w:p>
    <w:p w14:paraId="74A3EFEB">
      <w:pPr>
        <w:ind w:firstLine="480" w:firstLineChars="200"/>
        <w:rPr>
          <w:rFonts w:hint="eastAsia"/>
        </w:rPr>
      </w:pPr>
      <w:r>
        <w:rPr>
          <w:rFonts w:hint="eastAsia"/>
        </w:rPr>
        <w:t>（2）高级持续威胁</w:t>
      </w:r>
    </w:p>
    <w:p w14:paraId="6747DA85">
      <w:pPr>
        <w:ind w:firstLine="480" w:firstLineChars="200"/>
        <w:rPr>
          <w:rFonts w:hint="eastAsia"/>
        </w:rPr>
      </w:pPr>
      <w:r>
        <w:rPr>
          <w:rFonts w:hint="eastAsia"/>
        </w:rPr>
        <w:t>本次服务需要拥有持续性的高级威胁检测能力。高级的攻击往往攻击目标明确、时间周期比较长、采用的攻击方法比较多、而且隐蔽性很好。而研究发现，黑客进行APT攻击最常采用的跳板就是僵尸网络，大量的僵尸主机给了发动APT攻击的黑客很多选择，并且为了达到继续渗透、监视、敏感数据窃取等目的，黑客会让这些僵尸机很好的潜藏起来，减少暴漏的可能。</w:t>
      </w:r>
    </w:p>
    <w:p w14:paraId="606E3531">
      <w:pPr>
        <w:ind w:firstLine="480" w:firstLineChars="200"/>
        <w:rPr>
          <w:rFonts w:hint="eastAsia"/>
        </w:rPr>
      </w:pPr>
      <w:r>
        <w:rPr>
          <w:rFonts w:hint="eastAsia"/>
        </w:rPr>
        <w:t>（3）风险可视化</w:t>
      </w:r>
    </w:p>
    <w:p w14:paraId="778E746A">
      <w:pPr>
        <w:ind w:firstLine="480" w:firstLineChars="200"/>
        <w:rPr>
          <w:rFonts w:hint="eastAsia"/>
        </w:rPr>
      </w:pPr>
      <w:r>
        <w:rPr>
          <w:rFonts w:hint="eastAsia"/>
        </w:rPr>
        <w:t>为了更迅速的闭环网络安全事件，本次服务需要提供感知风险能力、风险可视化能力，威胁影响面分析能力。</w:t>
      </w:r>
    </w:p>
    <w:p w14:paraId="29E5EE08">
      <w:pPr>
        <w:pStyle w:val="4"/>
        <w:numPr>
          <w:ilvl w:val="0"/>
          <w:numId w:val="0"/>
        </w:numPr>
        <w:rPr>
          <w:rFonts w:hint="eastAsia"/>
        </w:rPr>
      </w:pPr>
      <w:r>
        <w:rPr>
          <w:rFonts w:hint="eastAsia"/>
        </w:rPr>
        <w:t>1.2.2互联网边界上网行为监测与审计服务要求</w:t>
      </w:r>
    </w:p>
    <w:p w14:paraId="7FAAFE6A">
      <w:pPr>
        <w:ind w:firstLine="480" w:firstLineChars="200"/>
        <w:rPr>
          <w:rFonts w:hint="eastAsia"/>
        </w:rPr>
      </w:pPr>
      <w:r>
        <w:rPr>
          <w:rFonts w:hint="eastAsia"/>
        </w:rPr>
        <w:t>投标人所提供的互联网边界上网行为监测与审计服务解决以下问题：</w:t>
      </w:r>
    </w:p>
    <w:p w14:paraId="69A8731D">
      <w:pPr>
        <w:numPr>
          <w:ilvl w:val="0"/>
          <w:numId w:val="4"/>
        </w:numPr>
        <w:ind w:firstLine="480" w:firstLineChars="200"/>
        <w:rPr>
          <w:rFonts w:hint="eastAsia"/>
        </w:rPr>
      </w:pPr>
      <w:r>
        <w:rPr>
          <w:rFonts w:hint="eastAsia"/>
        </w:rPr>
        <w:t>应用和内容不可视，存在风险</w:t>
      </w:r>
    </w:p>
    <w:p w14:paraId="234A231E">
      <w:pPr>
        <w:ind w:firstLine="480" w:firstLineChars="200"/>
        <w:rPr>
          <w:rFonts w:hint="eastAsia"/>
        </w:rPr>
      </w:pPr>
      <w:r>
        <w:rPr>
          <w:rFonts w:hint="eastAsia"/>
        </w:rPr>
        <w:t>大量新应用和老应用的新版本，给应用识别与管控以及后续的运维带来巨大的挑战，让网络难管控，难运维。另外，即使是同一个应用也可能具有两面性，他们有“好”的功能，也可能有“坏”的功能，“好”功能具有实用性，而“坏”功能具有风险性，因此，此类应用的管控成了一个两难的问题。</w:t>
      </w:r>
    </w:p>
    <w:p w14:paraId="735858EC">
      <w:pPr>
        <w:numPr>
          <w:ilvl w:val="0"/>
          <w:numId w:val="4"/>
        </w:numPr>
        <w:ind w:firstLine="480" w:firstLineChars="200"/>
        <w:rPr>
          <w:rFonts w:hint="eastAsia"/>
        </w:rPr>
      </w:pPr>
      <w:r>
        <w:rPr>
          <w:rFonts w:hint="eastAsia"/>
        </w:rPr>
        <w:t>网络流量识不全，控不住</w:t>
      </w:r>
    </w:p>
    <w:p w14:paraId="51398298">
      <w:pPr>
        <w:ind w:firstLine="480" w:firstLineChars="200"/>
        <w:rPr>
          <w:rFonts w:hint="eastAsia"/>
        </w:rPr>
      </w:pPr>
      <w:r>
        <w:rPr>
          <w:rFonts w:hint="eastAsia"/>
        </w:rPr>
        <w:t>由于流量没有明显的协议特征，再加上其带宽侵蚀性的特性，造成流量的全流量识别困难。</w:t>
      </w:r>
    </w:p>
    <w:p w14:paraId="4F5FEC7B">
      <w:pPr>
        <w:pStyle w:val="4"/>
        <w:numPr>
          <w:ilvl w:val="0"/>
          <w:numId w:val="0"/>
        </w:numPr>
        <w:rPr>
          <w:rFonts w:hint="eastAsia"/>
        </w:rPr>
      </w:pPr>
      <w:r>
        <w:rPr>
          <w:rFonts w:hint="eastAsia"/>
        </w:rPr>
        <w:t>1.2.3 服务器边界安全服务要求</w:t>
      </w:r>
    </w:p>
    <w:p w14:paraId="184D948D">
      <w:pPr>
        <w:ind w:firstLine="480" w:firstLineChars="200"/>
        <w:rPr>
          <w:rFonts w:hint="eastAsia"/>
        </w:rPr>
      </w:pPr>
      <w:r>
        <w:rPr>
          <w:rFonts w:hint="eastAsia"/>
        </w:rPr>
        <w:t>本次通过服务器边界安全服务需要解决以下几个问题：</w:t>
      </w:r>
    </w:p>
    <w:p w14:paraId="5AA612C1">
      <w:pPr>
        <w:numPr>
          <w:ilvl w:val="0"/>
          <w:numId w:val="5"/>
        </w:numPr>
        <w:ind w:firstLine="480" w:firstLineChars="200"/>
        <w:rPr>
          <w:rFonts w:hint="eastAsia"/>
        </w:rPr>
      </w:pPr>
      <w:r>
        <w:rPr>
          <w:rFonts w:hint="eastAsia"/>
        </w:rPr>
        <w:t>边界防御面临失陷的风险</w:t>
      </w:r>
    </w:p>
    <w:p w14:paraId="51256418">
      <w:pPr>
        <w:ind w:firstLine="480" w:firstLineChars="200"/>
        <w:rPr>
          <w:rFonts w:hint="eastAsia"/>
        </w:rPr>
      </w:pPr>
      <w:r>
        <w:t>因为</w:t>
      </w:r>
      <w:r>
        <w:rPr>
          <w:rFonts w:hint="eastAsia"/>
        </w:rPr>
        <w:t>服务器区域</w:t>
      </w:r>
      <w:r>
        <w:t>面临更高级的安全威胁，有太多的攻击手段可以绕过传统的防御工事，比如各种欺诈、0Day攻击、APT攻击等。而攻击者一旦突破了边界，就会在数据中心内部潜伏下来，通过控制一些主机，进行隐蔽的、慢速的，通过不容易被发现的横向移动的方式持续对数据中心的数据进行持续的窃取。</w:t>
      </w:r>
    </w:p>
    <w:p w14:paraId="0E7B66AA">
      <w:pPr>
        <w:numPr>
          <w:ilvl w:val="0"/>
          <w:numId w:val="5"/>
        </w:numPr>
        <w:ind w:firstLine="480" w:firstLineChars="200"/>
        <w:rPr>
          <w:rFonts w:hint="eastAsia"/>
        </w:rPr>
      </w:pPr>
      <w:r>
        <w:rPr>
          <w:rFonts w:hint="eastAsia"/>
        </w:rPr>
        <w:t>数据中心业务多，安全管理复杂</w:t>
      </w:r>
    </w:p>
    <w:p w14:paraId="2EF1DB6A">
      <w:pPr>
        <w:ind w:firstLine="480" w:firstLineChars="200"/>
        <w:rPr>
          <w:rFonts w:hint="eastAsia"/>
        </w:rPr>
      </w:pPr>
      <w:r>
        <w:rPr>
          <w:rFonts w:hint="eastAsia"/>
        </w:rPr>
        <w:t>IT已经成为提升我单位业务效率必不可少的重要手段，“业务型的IT”使得我单位服务器区域肩负的职能越来越高。自服务器区域建设已来，已上线大量的应用和系统，使得服务器区域业务的复杂度也越来越高。业务的复杂对安全管理提出了更高的挑战，如何应对业务快速上线带来的安全管理的挑战？如何准确的了解数据中心安全态势？如何及时发现数据中心存在的安全隐患？并通过简单有效的手段及时解决问题？成为我单位数据中心安全管理的几个核心问题。</w:t>
      </w:r>
    </w:p>
    <w:p w14:paraId="25025871">
      <w:pPr>
        <w:pStyle w:val="4"/>
        <w:numPr>
          <w:ilvl w:val="0"/>
          <w:numId w:val="0"/>
        </w:numPr>
        <w:rPr>
          <w:rFonts w:hint="eastAsia"/>
        </w:rPr>
      </w:pPr>
      <w:r>
        <w:rPr>
          <w:rFonts w:hint="eastAsia"/>
        </w:rPr>
        <w:t>1.2.4 DMZ区域Web应用安全防护服务要求</w:t>
      </w:r>
    </w:p>
    <w:p w14:paraId="05838CF6">
      <w:pPr>
        <w:ind w:firstLine="480" w:firstLineChars="200"/>
        <w:rPr>
          <w:rFonts w:hint="eastAsia"/>
        </w:rPr>
      </w:pPr>
      <w:r>
        <w:rPr>
          <w:rFonts w:hint="eastAsia"/>
        </w:rPr>
        <w:t>投标人所提供的DMZ区域Web应用安全防护服务需要解决以下几个问题：</w:t>
      </w:r>
    </w:p>
    <w:p w14:paraId="00803810">
      <w:pPr>
        <w:numPr>
          <w:ilvl w:val="0"/>
          <w:numId w:val="6"/>
        </w:numPr>
        <w:ind w:firstLine="480" w:firstLineChars="200"/>
        <w:rPr>
          <w:rFonts w:hint="eastAsia"/>
        </w:rPr>
      </w:pPr>
      <w:r>
        <w:rPr>
          <w:rFonts w:hint="eastAsia"/>
        </w:rPr>
        <w:t>Web应用安全</w:t>
      </w:r>
    </w:p>
    <w:p w14:paraId="49EA6A5C">
      <w:pPr>
        <w:ind w:firstLine="480" w:firstLineChars="200"/>
        <w:rPr>
          <w:rFonts w:hint="eastAsia"/>
        </w:rPr>
      </w:pPr>
      <w:r>
        <w:rPr>
          <w:rFonts w:hint="eastAsia"/>
        </w:rPr>
        <w:t>Web业务因其运行在互联网常常成为攻击的入口。业务高度集成，逻辑复杂导致安全问题频发。攻击者攻击成功后会</w:t>
      </w:r>
      <w:r>
        <w:t>修改</w:t>
      </w:r>
      <w:r>
        <w:rPr>
          <w:rFonts w:hint="eastAsia"/>
        </w:rPr>
        <w:t>业务数据，</w:t>
      </w:r>
      <w:r>
        <w:t>中断</w:t>
      </w:r>
      <w:r>
        <w:rPr>
          <w:rFonts w:hint="eastAsia"/>
        </w:rPr>
        <w:t>业务运行</w:t>
      </w:r>
      <w:r>
        <w:t>，窃取和加密业务数据，并</w:t>
      </w:r>
      <w:r>
        <w:rPr>
          <w:rFonts w:hint="eastAsia"/>
        </w:rPr>
        <w:t>遥控病毒木马</w:t>
      </w:r>
      <w:r>
        <w:t>持续横向扩散感染其他业务。因此需要有效的方法来</w:t>
      </w:r>
      <w:r>
        <w:rPr>
          <w:rFonts w:hint="eastAsia"/>
        </w:rPr>
        <w:t>阻断各类</w:t>
      </w:r>
      <w:r>
        <w:t>W</w:t>
      </w:r>
      <w:r>
        <w:rPr>
          <w:rFonts w:hint="eastAsia"/>
        </w:rPr>
        <w:t>eb攻击行为。</w:t>
      </w:r>
    </w:p>
    <w:p w14:paraId="1FD1992A">
      <w:pPr>
        <w:numPr>
          <w:ilvl w:val="0"/>
          <w:numId w:val="6"/>
        </w:numPr>
        <w:ind w:firstLine="480" w:firstLineChars="200"/>
        <w:rPr>
          <w:rFonts w:hint="eastAsia"/>
        </w:rPr>
      </w:pPr>
      <w:r>
        <w:rPr>
          <w:rFonts w:hint="eastAsia"/>
        </w:rPr>
        <w:t>网页挂马问题</w:t>
      </w:r>
    </w:p>
    <w:p w14:paraId="5AF14FE7">
      <w:pPr>
        <w:ind w:firstLine="480" w:firstLineChars="200"/>
        <w:rPr>
          <w:rFonts w:hint="eastAsia"/>
        </w:rPr>
      </w:pPr>
      <w:r>
        <w:rPr>
          <w:rFonts w:hint="eastAsia"/>
        </w:rPr>
        <w:t>网页挂马也是利用</w:t>
      </w:r>
      <w:r>
        <w:t>Web攻击造成的一种网页篡改的安全问题，相对而言这种问题会比较隐蔽，但本质上这种方式也破坏了网页的完整性，用户访问挂马网页就会把木马病毒带入自己的电脑。网页挂马会导致网站的最终用户成为受害者，网站建设方也会因此带来经济信誉损失，还可能因为是攻击者潜在的帮凶问题而承担相应的法律责任。</w:t>
      </w:r>
    </w:p>
    <w:p w14:paraId="7271A4BE">
      <w:pPr>
        <w:numPr>
          <w:ilvl w:val="0"/>
          <w:numId w:val="6"/>
        </w:numPr>
        <w:ind w:firstLine="480" w:firstLineChars="200"/>
        <w:rPr>
          <w:rFonts w:hint="eastAsia"/>
        </w:rPr>
      </w:pPr>
      <w:r>
        <w:rPr>
          <w:rFonts w:hint="eastAsia"/>
        </w:rPr>
        <w:t>敏感信息泄露问题</w:t>
      </w:r>
    </w:p>
    <w:p w14:paraId="44B898E2">
      <w:pPr>
        <w:ind w:firstLine="480" w:firstLineChars="200"/>
        <w:rPr>
          <w:rFonts w:hint="eastAsia"/>
        </w:rPr>
      </w:pPr>
      <w:r>
        <w:rPr>
          <w:rFonts w:hint="eastAsia"/>
        </w:rPr>
        <w:t>这类安全问题主要是因为</w:t>
      </w:r>
      <w:r>
        <w:t>Web攻击、系统漏洞攻击等攻击手段操作后台数据库，导致数据库中储存的用户资料、身份证信息、账户信息、信用卡信息、联系方式等敏感信息被攻击者获取。这对于企事业单位而言都是巨大的伤害，可产生巨大的经济损失。</w:t>
      </w:r>
    </w:p>
    <w:p w14:paraId="48D7702E">
      <w:pPr>
        <w:pStyle w:val="4"/>
        <w:numPr>
          <w:ilvl w:val="0"/>
          <w:numId w:val="0"/>
        </w:numPr>
        <w:rPr>
          <w:rFonts w:hint="eastAsia"/>
        </w:rPr>
      </w:pPr>
      <w:r>
        <w:rPr>
          <w:rFonts w:hint="eastAsia"/>
        </w:rPr>
        <w:t>1.2.5全网安全态势分析服务要求</w:t>
      </w:r>
    </w:p>
    <w:p w14:paraId="06444CAC">
      <w:pPr>
        <w:wordWrap w:val="0"/>
        <w:ind w:firstLine="480" w:firstLineChars="200"/>
        <w:rPr>
          <w:rFonts w:hint="eastAsia"/>
        </w:rPr>
      </w:pPr>
      <w:r>
        <w:rPr>
          <w:rFonts w:hint="eastAsia"/>
        </w:rPr>
        <w:t>投标人所提供的全网安全态势分析服务需要解决以下几个问题：</w:t>
      </w:r>
    </w:p>
    <w:p w14:paraId="3E08793C">
      <w:pPr>
        <w:numPr>
          <w:ilvl w:val="0"/>
          <w:numId w:val="7"/>
        </w:numPr>
        <w:wordWrap w:val="0"/>
        <w:ind w:firstLine="480" w:firstLineChars="200"/>
        <w:rPr>
          <w:rFonts w:hint="eastAsia"/>
        </w:rPr>
      </w:pPr>
      <w:r>
        <w:rPr>
          <w:rFonts w:hint="eastAsia"/>
        </w:rPr>
        <w:t>业务运维管理风险</w:t>
      </w:r>
    </w:p>
    <w:p w14:paraId="51AF6B1A">
      <w:pPr>
        <w:wordWrap w:val="0"/>
        <w:ind w:firstLine="480" w:firstLineChars="200"/>
        <w:rPr>
          <w:rFonts w:hint="eastAsia"/>
        </w:rPr>
      </w:pPr>
      <w:r>
        <w:rPr>
          <w:rFonts w:hint="eastAsia"/>
        </w:rPr>
        <w:t>信息安全保障的是核心业务和数据资产，如果我们都不清楚被保护的主体包含了哪些系统、哪些资产以及他们之间是如何交互、如何互相访问的，那么就谈不上建立针对性的安全保障体系。越来越多的黑客攻击已经开始基于业务逻辑和业务流开始构建自己的攻击过程，例如著名的孟加拉央行劫案，都不是通用安全防护设备能够应对的；而来自恶意内部员工的窃密和攻击，多数时候甚至都不是严格意义上的网络攻击行为，更加无法依赖标准化交付的安全产品实现。因此，我院目前缺乏</w:t>
      </w:r>
      <w:r>
        <w:t>有效手段主动识别新增业务</w:t>
      </w:r>
      <w:r>
        <w:rPr>
          <w:rFonts w:hint="eastAsia"/>
        </w:rPr>
        <w:t>、看不清的新增资产产生安全洼地、看不清的业务关系使业务安全防护失效。</w:t>
      </w:r>
    </w:p>
    <w:p w14:paraId="7A034B7D">
      <w:pPr>
        <w:numPr>
          <w:ilvl w:val="0"/>
          <w:numId w:val="7"/>
        </w:numPr>
        <w:wordWrap w:val="0"/>
        <w:ind w:firstLine="480" w:firstLineChars="200"/>
        <w:rPr>
          <w:rFonts w:hint="eastAsia"/>
        </w:rPr>
      </w:pPr>
      <w:r>
        <w:rPr>
          <w:rFonts w:hint="eastAsia"/>
        </w:rPr>
        <w:t>难以发现潜伏威胁隐患</w:t>
      </w:r>
    </w:p>
    <w:p w14:paraId="44C0F178">
      <w:pPr>
        <w:ind w:firstLine="480" w:firstLineChars="200"/>
        <w:rPr>
          <w:rFonts w:hint="eastAsia"/>
        </w:rPr>
      </w:pPr>
      <w:r>
        <w:rPr>
          <w:rFonts w:hint="eastAsia"/>
          <w:shd w:val="clear" w:color="auto" w:fill="FFFFFF"/>
        </w:rPr>
        <w:t>近年来，来自外部的攻击手段也变得更高级、更迅速、更隐蔽。我院目前</w:t>
      </w:r>
      <w:r>
        <w:rPr>
          <w:rFonts w:hint="eastAsia"/>
        </w:rPr>
        <w:t>看不见的内部横向攻击、看不见的违规操作、看不见的异常行为。</w:t>
      </w:r>
    </w:p>
    <w:p w14:paraId="50818470">
      <w:pPr>
        <w:numPr>
          <w:ilvl w:val="0"/>
          <w:numId w:val="7"/>
        </w:numPr>
        <w:ind w:firstLine="480" w:firstLineChars="200"/>
        <w:rPr>
          <w:rFonts w:hint="eastAsia"/>
        </w:rPr>
      </w:pPr>
      <w:r>
        <w:rPr>
          <w:rFonts w:hint="eastAsia"/>
        </w:rPr>
        <w:t>缺乏整体安全感知能力</w:t>
      </w:r>
    </w:p>
    <w:p w14:paraId="2C2CCD19">
      <w:pPr>
        <w:pStyle w:val="37"/>
      </w:pPr>
      <w:r>
        <w:rPr>
          <w:rFonts w:hint="eastAsia"/>
        </w:rPr>
        <w:t>安全技术保障体系和安全治理管理体系的脱节，主要是指安全服务工具发现的安全问题缺乏相应的检测分析能力和追溯能力，无法提供有效的事件应对处置闭环；而安全治理所需系统状态、安全态势也缺乏相应的感知和可视手段，无法实现真正的看的到和看的懂。</w:t>
      </w:r>
    </w:p>
    <w:p w14:paraId="61FCB7B0">
      <w:pPr>
        <w:pStyle w:val="4"/>
        <w:numPr>
          <w:ilvl w:val="0"/>
          <w:numId w:val="0"/>
        </w:numPr>
        <w:rPr>
          <w:rFonts w:hint="eastAsia"/>
        </w:rPr>
      </w:pPr>
      <w:r>
        <w:rPr>
          <w:rFonts w:hint="eastAsia"/>
        </w:rPr>
        <w:t>1.2.6等保合规运维审计管理服务要求</w:t>
      </w:r>
    </w:p>
    <w:p w14:paraId="06CCA771">
      <w:pPr>
        <w:wordWrap w:val="0"/>
        <w:ind w:firstLine="480" w:firstLineChars="200"/>
        <w:rPr>
          <w:rFonts w:hint="eastAsia"/>
        </w:rPr>
      </w:pPr>
      <w:r>
        <w:rPr>
          <w:rFonts w:hint="eastAsia"/>
        </w:rPr>
        <w:t>投标人所提供的等保合规运维审计管理服务需要解决以下几个问题：</w:t>
      </w:r>
    </w:p>
    <w:p w14:paraId="7D440170">
      <w:pPr>
        <w:numPr>
          <w:ilvl w:val="0"/>
          <w:numId w:val="8"/>
        </w:numPr>
        <w:wordWrap w:val="0"/>
        <w:ind w:firstLine="480" w:firstLineChars="200"/>
        <w:rPr>
          <w:rFonts w:hint="eastAsia"/>
        </w:rPr>
      </w:pPr>
      <w:r>
        <w:rPr>
          <w:rFonts w:hint="eastAsia"/>
        </w:rPr>
        <w:t>堡垒机运维需求：提供账号管理、授权管理、认证管理、审计管理等功能；</w:t>
      </w:r>
    </w:p>
    <w:p w14:paraId="6986ECF3">
      <w:pPr>
        <w:numPr>
          <w:ilvl w:val="0"/>
          <w:numId w:val="8"/>
        </w:numPr>
        <w:wordWrap w:val="0"/>
        <w:ind w:firstLine="480" w:firstLineChars="200"/>
        <w:rPr>
          <w:rFonts w:hint="eastAsia"/>
        </w:rPr>
      </w:pPr>
      <w:r>
        <w:rPr>
          <w:rFonts w:hint="eastAsia"/>
        </w:rPr>
        <w:t>数据库审计需求：数据库审计、数据库行为统计与分析、数据库安全防护等功能；</w:t>
      </w:r>
    </w:p>
    <w:p w14:paraId="4556630E">
      <w:pPr>
        <w:numPr>
          <w:ilvl w:val="0"/>
          <w:numId w:val="8"/>
        </w:numPr>
        <w:wordWrap w:val="0"/>
        <w:ind w:firstLine="480" w:firstLineChars="200"/>
        <w:rPr>
          <w:rFonts w:hint="eastAsia"/>
        </w:rPr>
      </w:pPr>
      <w:r>
        <w:rPr>
          <w:rFonts w:hint="eastAsia"/>
        </w:rPr>
        <w:t>日志审计需求：日志采集、日志处理与标准化、日志分析与审计等功能；</w:t>
      </w:r>
    </w:p>
    <w:p w14:paraId="65624976">
      <w:pPr>
        <w:pStyle w:val="4"/>
        <w:numPr>
          <w:ilvl w:val="0"/>
          <w:numId w:val="0"/>
        </w:numPr>
        <w:rPr>
          <w:rFonts w:hint="eastAsia"/>
        </w:rPr>
      </w:pPr>
      <w:r>
        <w:rPr>
          <w:rFonts w:hint="eastAsia"/>
          <w:iCs/>
          <w:szCs w:val="24"/>
        </w:rPr>
        <w:t>1.2.7终端检测与响应系统</w:t>
      </w:r>
      <w:r>
        <w:rPr>
          <w:rFonts w:hint="eastAsia"/>
        </w:rPr>
        <w:t>服务要求</w:t>
      </w:r>
    </w:p>
    <w:p w14:paraId="340F47A0">
      <w:pPr>
        <w:ind w:firstLine="480" w:firstLineChars="200"/>
        <w:rPr>
          <w:rFonts w:hint="eastAsia" w:cs="Arial"/>
          <w:b/>
          <w:bCs/>
          <w:szCs w:val="24"/>
        </w:rPr>
      </w:pPr>
      <w:r>
        <w:rPr>
          <w:rFonts w:hint="eastAsia"/>
        </w:rPr>
        <w:t>投标人所提供的</w:t>
      </w:r>
      <w:r>
        <w:rPr>
          <w:rFonts w:hint="eastAsia"/>
          <w:iCs/>
          <w:szCs w:val="24"/>
        </w:rPr>
        <w:t>终端检测与响应系统</w:t>
      </w:r>
      <w:r>
        <w:rPr>
          <w:rFonts w:hint="eastAsia"/>
        </w:rPr>
        <w:t>服务需要解决以下几个问题：</w:t>
      </w:r>
      <w:bookmarkStart w:id="0" w:name="_Toc26942"/>
    </w:p>
    <w:p w14:paraId="04046965">
      <w:pPr>
        <w:ind w:firstLine="480" w:firstLineChars="200"/>
        <w:rPr>
          <w:rFonts w:hint="eastAsia" w:cs="宋体"/>
          <w:kern w:val="0"/>
          <w:szCs w:val="21"/>
        </w:rPr>
      </w:pPr>
      <w:r>
        <w:rPr>
          <w:rFonts w:hint="eastAsia" w:cs="宋体"/>
          <w:kern w:val="0"/>
          <w:szCs w:val="21"/>
        </w:rPr>
        <w:t>（1）终端资产的全面管理</w:t>
      </w:r>
      <w:bookmarkEnd w:id="0"/>
    </w:p>
    <w:p w14:paraId="1D07877C">
      <w:pPr>
        <w:ind w:firstLine="480" w:firstLineChars="200"/>
        <w:rPr>
          <w:rFonts w:hint="eastAsia" w:cs="宋体"/>
          <w:kern w:val="0"/>
          <w:szCs w:val="21"/>
        </w:rPr>
      </w:pPr>
      <w:r>
        <w:rPr>
          <w:rFonts w:hint="eastAsia" w:cs="宋体"/>
          <w:kern w:val="0"/>
          <w:szCs w:val="21"/>
        </w:rPr>
        <w:t>全网终端资产的全面盘点，包含业务服务器的终端和用户 PC 的终端。盘点每台终端设备的名称、IP 地址、MAC 地址、所属组织、责任人、资产编号、资产位置等。每一台的终端上的资产信息清晰，每一个安全事件责任到人，使得安全管理能落实到位。</w:t>
      </w:r>
    </w:p>
    <w:p w14:paraId="457616EA">
      <w:pPr>
        <w:ind w:firstLine="480" w:firstLineChars="200"/>
        <w:rPr>
          <w:rFonts w:hint="eastAsia" w:cs="宋体"/>
          <w:kern w:val="0"/>
          <w:szCs w:val="21"/>
        </w:rPr>
      </w:pPr>
      <w:bookmarkStart w:id="1" w:name="_Toc26042"/>
      <w:r>
        <w:rPr>
          <w:rFonts w:hint="eastAsia" w:cs="宋体"/>
          <w:kern w:val="0"/>
          <w:szCs w:val="21"/>
        </w:rPr>
        <w:t>（2）终端安全的合规检查</w:t>
      </w:r>
      <w:bookmarkEnd w:id="1"/>
    </w:p>
    <w:p w14:paraId="710DDA8D">
      <w:pPr>
        <w:ind w:firstLine="480" w:firstLineChars="200"/>
        <w:rPr>
          <w:rFonts w:hint="eastAsia" w:cs="宋体"/>
          <w:kern w:val="0"/>
          <w:szCs w:val="21"/>
        </w:rPr>
      </w:pPr>
      <w:r>
        <w:rPr>
          <w:rFonts w:hint="eastAsia" w:cs="宋体"/>
          <w:kern w:val="0"/>
          <w:szCs w:val="21"/>
        </w:rPr>
        <w:t>每一个组织都有自己的终端安全合规要求，特别是等级保护的合规要求，对主机的安全要求。终端安全合规审查依据等级保护的主机安全要求进行设计，对身份鉴别、访问控制、安全审计、入侵防范、恶意代码防范等策略进行合规性审查，满足企业建设等级保护系统的主机安全要求。</w:t>
      </w:r>
    </w:p>
    <w:p w14:paraId="34065C3D">
      <w:pPr>
        <w:ind w:firstLine="480" w:firstLineChars="200"/>
        <w:rPr>
          <w:rFonts w:hint="eastAsia" w:cs="宋体"/>
          <w:kern w:val="0"/>
          <w:szCs w:val="21"/>
        </w:rPr>
      </w:pPr>
      <w:bookmarkStart w:id="2" w:name="_Toc12110"/>
      <w:r>
        <w:rPr>
          <w:rFonts w:hint="eastAsia" w:cs="宋体"/>
          <w:kern w:val="0"/>
          <w:szCs w:val="21"/>
        </w:rPr>
        <w:t>（3）勒索病毒的实时防御</w:t>
      </w:r>
      <w:bookmarkEnd w:id="2"/>
    </w:p>
    <w:p w14:paraId="26EA3386">
      <w:pPr>
        <w:ind w:firstLine="480" w:firstLineChars="200"/>
        <w:rPr>
          <w:rFonts w:hint="eastAsia" w:cs="宋体"/>
          <w:kern w:val="0"/>
          <w:szCs w:val="21"/>
        </w:rPr>
      </w:pPr>
      <w:r>
        <w:rPr>
          <w:rFonts w:hint="eastAsia" w:cs="宋体"/>
          <w:kern w:val="0"/>
          <w:szCs w:val="21"/>
        </w:rPr>
        <w:t>勒索病毒通过加密文件的方式，要求中招者支持一定数额的赎金。这种攻击方式越来越流行，每天都有客户反馈中招。非常精准的识别不同的勒索软件家族，并通过专业分析识别出种种勒索病毒感染行为和加密特征，对最新的勒索软件进行有效的查杀，防止用户感染最新的勒索软件。</w:t>
      </w:r>
    </w:p>
    <w:p w14:paraId="6C0FF45C">
      <w:pPr>
        <w:ind w:firstLine="480" w:firstLineChars="200"/>
        <w:rPr>
          <w:rFonts w:hint="eastAsia" w:cs="宋体"/>
          <w:kern w:val="0"/>
          <w:szCs w:val="21"/>
        </w:rPr>
      </w:pPr>
      <w:bookmarkStart w:id="3" w:name="_Toc10345"/>
      <w:r>
        <w:rPr>
          <w:rFonts w:hint="eastAsia" w:cs="宋体"/>
          <w:kern w:val="0"/>
          <w:szCs w:val="21"/>
        </w:rPr>
        <w:t>（4）无文件攻击的高级防护</w:t>
      </w:r>
      <w:bookmarkEnd w:id="3"/>
    </w:p>
    <w:p w14:paraId="3F312B21">
      <w:pPr>
        <w:ind w:firstLine="480" w:firstLineChars="200"/>
        <w:rPr>
          <w:rFonts w:hint="eastAsia" w:cs="宋体"/>
          <w:kern w:val="0"/>
          <w:szCs w:val="21"/>
        </w:rPr>
      </w:pPr>
      <w:r>
        <w:rPr>
          <w:rFonts w:hint="eastAsia" w:cs="宋体"/>
          <w:kern w:val="0"/>
          <w:szCs w:val="21"/>
        </w:rPr>
        <w:t>无文件攻击方式利用powershell的命令加载恶意代码，利用无文件落地方式绕过传统杀软的检测与防护，该方式快速且具有隐秘性，不易被察觉，被广泛利用于挖矿，窃密等非法行为上。准确拦截powershell的对恶意代码的执行，实现实时准确阻断，防止用户主机被利用破坏。</w:t>
      </w:r>
    </w:p>
    <w:p w14:paraId="75BE948D">
      <w:pPr>
        <w:ind w:firstLine="480" w:firstLineChars="200"/>
        <w:rPr>
          <w:rFonts w:hint="eastAsia" w:cs="宋体"/>
          <w:kern w:val="0"/>
          <w:szCs w:val="21"/>
        </w:rPr>
      </w:pPr>
      <w:bookmarkStart w:id="4" w:name="_Toc17090"/>
      <w:r>
        <w:rPr>
          <w:rFonts w:hint="eastAsia" w:cs="宋体"/>
          <w:kern w:val="0"/>
          <w:szCs w:val="21"/>
        </w:rPr>
        <w:t>（5）入侵攻击的主动检测</w:t>
      </w:r>
      <w:bookmarkEnd w:id="4"/>
    </w:p>
    <w:p w14:paraId="2ACAC8AF">
      <w:pPr>
        <w:ind w:firstLine="480" w:firstLineChars="200"/>
        <w:rPr>
          <w:rFonts w:hint="eastAsia" w:cs="宋体"/>
          <w:kern w:val="0"/>
          <w:szCs w:val="21"/>
        </w:rPr>
      </w:pPr>
      <w:r>
        <w:rPr>
          <w:rFonts w:hint="eastAsia" w:cs="宋体"/>
          <w:kern w:val="0"/>
          <w:szCs w:val="21"/>
        </w:rPr>
        <w:t>终端主机被入侵攻击，导致感染勒索病毒或者挖矿病毒，其中大部分攻击是通过暴力破解的弱口令攻击产生的。主动检测暴力破解行为，并对发现攻击行为的 IP 进行封堵响应。针对 Web 安全攻击行为，则主动检测 Web 后门的文件。针对僵尸网络的攻击，则根据僵尸网络的活跃行为，快速定位僵尸网络文件，并进行一键查杀。</w:t>
      </w:r>
    </w:p>
    <w:p w14:paraId="286AED64">
      <w:pPr>
        <w:ind w:firstLine="480" w:firstLineChars="200"/>
        <w:rPr>
          <w:rFonts w:hint="eastAsia" w:cs="宋体"/>
          <w:kern w:val="0"/>
          <w:szCs w:val="21"/>
        </w:rPr>
      </w:pPr>
      <w:bookmarkStart w:id="5" w:name="_Toc8752"/>
      <w:r>
        <w:rPr>
          <w:rFonts w:hint="eastAsia" w:cs="宋体"/>
          <w:kern w:val="0"/>
          <w:szCs w:val="21"/>
        </w:rPr>
        <w:t>（6）访问关系的策略控制</w:t>
      </w:r>
      <w:bookmarkEnd w:id="5"/>
    </w:p>
    <w:p w14:paraId="6C02815D">
      <w:pPr>
        <w:ind w:firstLine="480" w:firstLineChars="200"/>
        <w:rPr>
          <w:rFonts w:hint="eastAsia" w:cs="宋体"/>
          <w:kern w:val="0"/>
          <w:szCs w:val="21"/>
        </w:rPr>
      </w:pPr>
      <w:r>
        <w:rPr>
          <w:rFonts w:hint="eastAsia" w:cs="宋体"/>
          <w:kern w:val="0"/>
          <w:szCs w:val="21"/>
        </w:rPr>
        <w:t>当前各种感染性病毒大部分都是通过网络进行传播，从而导致大范围内的终端中招，影响范围较广。微隔离支持网络访问关系策略的配置，可以实现业务域之间或者终端之间的网络隔离，从源头上杜绝病毒的传播，减少用户的损失，进一步保证终端的安全。</w:t>
      </w:r>
    </w:p>
    <w:p w14:paraId="71747AC3">
      <w:pPr>
        <w:pStyle w:val="4"/>
        <w:numPr>
          <w:ilvl w:val="0"/>
          <w:numId w:val="0"/>
        </w:numPr>
        <w:rPr>
          <w:rFonts w:hint="eastAsia"/>
        </w:rPr>
      </w:pPr>
      <w:r>
        <w:rPr>
          <w:rFonts w:hint="eastAsia"/>
        </w:rPr>
        <w:t>1.2.8远程网络安全巡检服务要求</w:t>
      </w:r>
    </w:p>
    <w:p w14:paraId="1AFC492C">
      <w:pPr>
        <w:ind w:firstLine="480" w:firstLineChars="200"/>
        <w:rPr>
          <w:rFonts w:hint="eastAsia"/>
        </w:rPr>
      </w:pPr>
      <w:r>
        <w:rPr>
          <w:rFonts w:hint="eastAsia"/>
        </w:rPr>
        <w:t>投标人所提供的远程网络安全巡检服务应依据《信息安全技术信息系统安全等级保护基本要求》，结合院内的实际安全需求，进行定期或不定期的多种工具的交叉远程网络安全巡检，了解系统及服务器存在的安全隐患，建立安全可靠的WEB应用服务，改善并提升应用系统抗各类WEB应用攻击的能力(如：注入攻击、跨站脚本、钓鱼攻击、信息泄漏、恶意编码、表单绕过、缓冲区溢出等)；提供详细的安全评估报告，包括扫描的漏洞详细信息、安全加固建议等，对所有漏洞弱点的相关背景提供详细描述、引用，以及相应的修复和改进建议。</w:t>
      </w:r>
    </w:p>
    <w:p w14:paraId="78864E36">
      <w:pPr>
        <w:ind w:firstLine="480" w:firstLineChars="200"/>
        <w:rPr>
          <w:rFonts w:hint="eastAsia"/>
        </w:rPr>
      </w:pPr>
      <w:r>
        <w:rPr>
          <w:rFonts w:hint="eastAsia"/>
        </w:rPr>
        <w:t>通过主动防御，及时发现信息系统存在的安全隐患以及发生的安全事件，使得客户可以更及时快速地处理安全事件，制定相应的预防措施，防患于未然。</w:t>
      </w:r>
    </w:p>
    <w:p w14:paraId="2B58D818">
      <w:pPr>
        <w:ind w:firstLine="480" w:firstLineChars="200"/>
        <w:rPr>
          <w:rFonts w:hint="eastAsia"/>
        </w:rPr>
      </w:pPr>
      <w:r>
        <w:rPr>
          <w:rFonts w:hint="eastAsia"/>
        </w:rPr>
        <w:t>提前消除安全事件带来的影响，降低安全事件给客户带来的损失和风险。</w:t>
      </w:r>
    </w:p>
    <w:p w14:paraId="5EF0987D">
      <w:pPr>
        <w:ind w:firstLine="480" w:firstLineChars="200"/>
        <w:rPr>
          <w:rFonts w:hint="eastAsia"/>
        </w:rPr>
      </w:pPr>
      <w:r>
        <w:rPr>
          <w:rFonts w:hint="eastAsia"/>
        </w:rPr>
        <w:t>周期性的远程网络安全巡检分析报告，提供专家建议，为客户提供信息系统安全整体风险状况以及安全发展趋势。</w:t>
      </w:r>
    </w:p>
    <w:p w14:paraId="0631418C">
      <w:pPr>
        <w:pStyle w:val="4"/>
        <w:numPr>
          <w:ilvl w:val="0"/>
          <w:numId w:val="0"/>
        </w:numPr>
        <w:jc w:val="left"/>
        <w:rPr>
          <w:rFonts w:hint="eastAsia"/>
        </w:rPr>
      </w:pPr>
      <w:r>
        <w:rPr>
          <w:rFonts w:hint="eastAsia"/>
        </w:rPr>
        <w:t>1.2.9安全运营服务要求</w:t>
      </w:r>
    </w:p>
    <w:p w14:paraId="71DF75F6">
      <w:pPr>
        <w:ind w:firstLine="480" w:firstLineChars="200"/>
        <w:rPr>
          <w:rFonts w:hint="eastAsia"/>
        </w:rPr>
      </w:pPr>
      <w:r>
        <w:rPr>
          <w:rFonts w:hint="eastAsia"/>
        </w:rPr>
        <w:t>投标人提供40个资产的安全运营服务，由安全运营中心</w:t>
      </w:r>
      <w:r>
        <w:t>帮助客户进行</w:t>
      </w:r>
      <w:r>
        <w:rPr>
          <w:rFonts w:hint="eastAsia"/>
        </w:rPr>
        <w:t>7*24小时</w:t>
      </w:r>
      <w:r>
        <w:t>持续安全监测，时刻洞悉网络的事件根因，在威胁未发生之前实现最大化精准预警，并进行安全策略调整；对已确定的安全威胁持续监测，并进一步验证策略的有效性；从而实现主动快速响应，精准拦截黑客攻击，保障网络安全的目标</w:t>
      </w:r>
      <w:r>
        <w:rPr>
          <w:rFonts w:hint="eastAsia"/>
        </w:rPr>
        <w:t>，每年四次服务进展汇报。</w:t>
      </w:r>
    </w:p>
    <w:p w14:paraId="1F178686">
      <w:pPr>
        <w:pStyle w:val="4"/>
        <w:numPr>
          <w:ilvl w:val="0"/>
          <w:numId w:val="0"/>
        </w:numPr>
        <w:jc w:val="left"/>
        <w:rPr>
          <w:rFonts w:hint="eastAsia"/>
        </w:rPr>
      </w:pPr>
      <w:r>
        <w:rPr>
          <w:rFonts w:hint="eastAsia"/>
        </w:rPr>
        <w:t>1.2.10现场漏洞扫描服务要求</w:t>
      </w:r>
    </w:p>
    <w:p w14:paraId="79D159CF">
      <w:pPr>
        <w:ind w:firstLine="480" w:firstLineChars="200"/>
        <w:rPr>
          <w:rFonts w:hint="eastAsia"/>
        </w:rPr>
      </w:pPr>
      <w:r>
        <w:rPr>
          <w:rFonts w:hint="eastAsia"/>
        </w:rPr>
        <w:t>漏洞扫描服务，服务方使用自主知识产权的自动化漏洞扫描工具，对服务范围内的各种软硬件设备进行系统层、网络层、数据库层、应用层的全面的扫描与分析，扫描设备检测规则库及知识库涵盖了CVE、CNCVE、CNVD、CNNVD等标准，全面快速扫描完成后，人工验证所发现的操作系统漏洞、数据库漏洞、弱口令、信息泄漏及配置不当等脆弱性问题。最终出具准确有效的扫描报告，并针对扫描结果提供修复建议，协助单位进行修复加固。</w:t>
      </w:r>
    </w:p>
    <w:p w14:paraId="54106635">
      <w:pPr>
        <w:pStyle w:val="4"/>
        <w:numPr>
          <w:ilvl w:val="0"/>
          <w:numId w:val="0"/>
        </w:numPr>
        <w:jc w:val="left"/>
        <w:rPr>
          <w:rFonts w:hint="eastAsia"/>
        </w:rPr>
      </w:pPr>
      <w:r>
        <w:rPr>
          <w:rFonts w:hint="eastAsia"/>
        </w:rPr>
        <w:t>1.2.11现场渗透测试服务要求</w:t>
      </w:r>
    </w:p>
    <w:p w14:paraId="6F39F7DC">
      <w:pPr>
        <w:ind w:firstLine="480" w:firstLineChars="200"/>
        <w:rPr>
          <w:rFonts w:hint="eastAsia"/>
        </w:rPr>
      </w:pPr>
      <w:r>
        <w:rPr>
          <w:rFonts w:hint="eastAsia"/>
        </w:rPr>
        <w:t>通过红队模拟进攻方式，在不损害单位利益的情况下，根据黑客攻击的思维，参考黑客攻击的手段，指定攻击的路线，尽可能全面发现导致黑客入侵的所有途径；对预审系统资产发现并深入挖掘漏洞，从而实现横向渗透，进而实现整个网络的夺权的思路，达成攻击目标。</w:t>
      </w:r>
    </w:p>
    <w:p w14:paraId="4132CAC6">
      <w:pPr>
        <w:pStyle w:val="4"/>
        <w:numPr>
          <w:ilvl w:val="0"/>
          <w:numId w:val="0"/>
        </w:numPr>
        <w:jc w:val="left"/>
        <w:rPr>
          <w:rFonts w:hint="eastAsia"/>
        </w:rPr>
      </w:pPr>
      <w:r>
        <w:rPr>
          <w:rFonts w:hint="eastAsia"/>
        </w:rPr>
        <w:t>1.2.12网络应急演练服务要求</w:t>
      </w:r>
    </w:p>
    <w:p w14:paraId="2A4EAEC8">
      <w:pPr>
        <w:ind w:firstLine="480" w:firstLineChars="200"/>
        <w:rPr>
          <w:rFonts w:hint="eastAsia"/>
        </w:rPr>
      </w:pPr>
      <w:r>
        <w:rPr>
          <w:rFonts w:hint="eastAsia"/>
        </w:rPr>
        <w:t>应急演练服务根据定制化的演练目的和场景，基于现有应急处置体系，组织开展应急演练工作，进一步提高客户网络安全应急处置能力。主要服务内容包括：制订应急演练方案、准备应急演练环境、实施应急演练、优化应急预案、完善应急处置体系等。</w:t>
      </w:r>
    </w:p>
    <w:p w14:paraId="273FE949">
      <w:pPr>
        <w:pStyle w:val="4"/>
        <w:numPr>
          <w:ilvl w:val="0"/>
          <w:numId w:val="0"/>
        </w:numPr>
        <w:jc w:val="left"/>
        <w:rPr>
          <w:rFonts w:hint="eastAsia"/>
        </w:rPr>
      </w:pPr>
      <w:r>
        <w:rPr>
          <w:rFonts w:hint="eastAsia"/>
        </w:rPr>
        <w:t>1.2.13网络安全加固服务要求</w:t>
      </w:r>
    </w:p>
    <w:p w14:paraId="1F4DEA65">
      <w:pPr>
        <w:ind w:firstLine="480" w:firstLineChars="200"/>
        <w:rPr>
          <w:rFonts w:hint="eastAsia"/>
        </w:rPr>
      </w:pPr>
      <w:r>
        <w:rPr>
          <w:rFonts w:hint="eastAsia"/>
        </w:rPr>
        <w:t>安全加固指导服务针对在安全评估、应急响应、攻防对抗过程中发现的安全风险、不合规项、漏洞扫描报告等提供具体落地的加固方案并指导客户进行加固整改。服务包括安全漏洞漏洞服务与基线安全加固指导服务，指导加固对象包括系统漏洞、中间件、数据库等相关软硬件资产。</w:t>
      </w:r>
    </w:p>
    <w:p w14:paraId="7BF28C4A">
      <w:pPr>
        <w:pStyle w:val="4"/>
        <w:numPr>
          <w:ilvl w:val="0"/>
          <w:numId w:val="0"/>
        </w:numPr>
        <w:jc w:val="left"/>
        <w:rPr>
          <w:rFonts w:hint="eastAsia"/>
        </w:rPr>
      </w:pPr>
      <w:r>
        <w:rPr>
          <w:rFonts w:hint="eastAsia"/>
        </w:rPr>
        <w:t>1.2.14网络安全意识培训服务要求</w:t>
      </w:r>
    </w:p>
    <w:p w14:paraId="2D7688FF">
      <w:pPr>
        <w:ind w:firstLine="480" w:firstLineChars="200"/>
        <w:rPr>
          <w:rFonts w:hint="eastAsia"/>
          <w:szCs w:val="24"/>
        </w:rPr>
      </w:pPr>
      <w:r>
        <w:rPr>
          <w:rFonts w:hint="eastAsia"/>
          <w:szCs w:val="24"/>
        </w:rPr>
        <w:t>安全意识培训旨提升公司内部员工安全认知，让员工认识到信息安全意识不足对组织可能造成的危害，传导应正确恪守的行为方式；通过全员安全意识的理论培训和案例分析以及关键行为上的最佳实践指导，让信息安全“人防“保障有效支撑业务高效稳定运行。培训内容包括普通员工的上网安全、邮件安全、通信安全等常见的安全意识内容。</w:t>
      </w:r>
    </w:p>
    <w:p w14:paraId="689F4F54">
      <w:pPr>
        <w:pStyle w:val="4"/>
        <w:numPr>
          <w:ilvl w:val="0"/>
          <w:numId w:val="0"/>
        </w:numPr>
        <w:jc w:val="left"/>
        <w:rPr>
          <w:rFonts w:hint="eastAsia"/>
        </w:rPr>
      </w:pPr>
      <w:r>
        <w:rPr>
          <w:rFonts w:hint="eastAsia"/>
        </w:rPr>
        <w:t>1.2.15网络应急响应服务要求</w:t>
      </w:r>
    </w:p>
    <w:p w14:paraId="64011120">
      <w:pPr>
        <w:ind w:firstLine="480" w:firstLineChars="200"/>
        <w:rPr>
          <w:rFonts w:hint="eastAsia"/>
          <w:szCs w:val="24"/>
        </w:rPr>
      </w:pPr>
      <w:r>
        <w:rPr>
          <w:rFonts w:hint="eastAsia"/>
          <w:szCs w:val="24"/>
        </w:rPr>
        <w:t>应急响应服务根据应急预案对发生的安全事件快速作出响应，根据安全事件等级，第一时间采用现场或远程的方式对安全事件进行应急处置。安全事件包括：非授权访问、信息泄密、拒绝服务、非法登录、病毒感染，权限篡改等相关攻击行为。</w:t>
      </w:r>
    </w:p>
    <w:p w14:paraId="04923C2E">
      <w:pPr>
        <w:pStyle w:val="4"/>
        <w:numPr>
          <w:ilvl w:val="0"/>
          <w:numId w:val="0"/>
        </w:numPr>
        <w:jc w:val="left"/>
        <w:rPr>
          <w:rFonts w:hint="eastAsia"/>
        </w:rPr>
      </w:pPr>
      <w:r>
        <w:rPr>
          <w:rFonts w:hint="eastAsia"/>
        </w:rPr>
        <w:t>1.2.16安全托管式服务</w:t>
      </w:r>
    </w:p>
    <w:p w14:paraId="0296FC6B">
      <w:pPr>
        <w:ind w:firstLine="480" w:firstLineChars="200"/>
        <w:rPr>
          <w:rFonts w:hint="eastAsia"/>
          <w:szCs w:val="24"/>
        </w:rPr>
      </w:pPr>
      <w:r>
        <w:rPr>
          <w:rFonts w:hint="eastAsia"/>
          <w:iCs/>
          <w:szCs w:val="24"/>
        </w:rPr>
        <w:t>提供一套通过“人机共智”的方式整合技术、专家和流程，帮助用户快速扩展安全能力，实现 7*24H 持续监测“资产、漏洞、威胁、事件”四个网络安全风险核心要素，主动对发现的风险进行闭环处置，提升安全工作的效率，减轻安全运维工作的压力，帮助用户呈现安全工作价值。</w:t>
      </w:r>
    </w:p>
    <w:p w14:paraId="652CA256">
      <w:pPr>
        <w:pStyle w:val="3"/>
        <w:rPr>
          <w:rFonts w:hint="eastAsia"/>
        </w:rPr>
      </w:pPr>
      <w:r>
        <w:rPr>
          <w:rFonts w:hint="eastAsia"/>
        </w:rPr>
        <w:t>服务组件</w:t>
      </w:r>
    </w:p>
    <w:p w14:paraId="67A792D9">
      <w:pPr>
        <w:pStyle w:val="4"/>
        <w:ind w:left="0"/>
        <w:rPr>
          <w:rFonts w:hint="eastAsia"/>
        </w:rPr>
      </w:pPr>
      <w:r>
        <w:rPr>
          <w:rFonts w:hint="eastAsia"/>
        </w:rPr>
        <w:t>服务组件清单要求：</w:t>
      </w:r>
    </w:p>
    <w:tbl>
      <w:tblPr>
        <w:tblStyle w:val="15"/>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258"/>
        <w:gridCol w:w="5970"/>
      </w:tblGrid>
      <w:tr w14:paraId="6D5A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Pr>
          <w:p w14:paraId="50A44D65">
            <w:pPr>
              <w:rPr>
                <w:rFonts w:hint="eastAsia"/>
                <w:color w:val="auto"/>
              </w:rPr>
            </w:pPr>
            <w:r>
              <w:rPr>
                <w:rFonts w:hint="eastAsia"/>
                <w:color w:val="auto"/>
              </w:rPr>
              <w:t>序号</w:t>
            </w:r>
          </w:p>
        </w:tc>
        <w:tc>
          <w:tcPr>
            <w:tcW w:w="758" w:type="pct"/>
          </w:tcPr>
          <w:p w14:paraId="2B5328D2">
            <w:pPr>
              <w:jc w:val="center"/>
              <w:rPr>
                <w:rFonts w:hint="eastAsia"/>
                <w:color w:val="auto"/>
                <w:szCs w:val="24"/>
              </w:rPr>
            </w:pPr>
            <w:r>
              <w:rPr>
                <w:rFonts w:hint="eastAsia"/>
                <w:color w:val="auto"/>
                <w:szCs w:val="24"/>
              </w:rPr>
              <w:t>服务名称</w:t>
            </w:r>
          </w:p>
        </w:tc>
        <w:tc>
          <w:tcPr>
            <w:tcW w:w="3598" w:type="pct"/>
          </w:tcPr>
          <w:p w14:paraId="7EDCA1DA">
            <w:pPr>
              <w:rPr>
                <w:rFonts w:hint="eastAsia"/>
                <w:color w:val="auto"/>
                <w:szCs w:val="24"/>
              </w:rPr>
            </w:pPr>
            <w:r>
              <w:rPr>
                <w:rFonts w:hint="eastAsia"/>
                <w:color w:val="auto"/>
                <w:szCs w:val="24"/>
              </w:rPr>
              <w:t>服务要求</w:t>
            </w:r>
          </w:p>
        </w:tc>
      </w:tr>
      <w:tr w14:paraId="19C6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6F02B85B">
            <w:pPr>
              <w:jc w:val="center"/>
              <w:rPr>
                <w:rFonts w:hint="eastAsia"/>
                <w:color w:val="auto"/>
                <w:szCs w:val="24"/>
              </w:rPr>
            </w:pPr>
            <w:r>
              <w:rPr>
                <w:rFonts w:hint="eastAsia"/>
                <w:color w:val="auto"/>
                <w:szCs w:val="24"/>
              </w:rPr>
              <w:t>1</w:t>
            </w:r>
          </w:p>
        </w:tc>
        <w:tc>
          <w:tcPr>
            <w:tcW w:w="758" w:type="pct"/>
            <w:vAlign w:val="center"/>
          </w:tcPr>
          <w:p w14:paraId="543BEB51">
            <w:pPr>
              <w:jc w:val="center"/>
              <w:rPr>
                <w:rFonts w:hint="eastAsia"/>
                <w:color w:val="auto"/>
                <w:szCs w:val="24"/>
              </w:rPr>
            </w:pPr>
            <w:r>
              <w:rPr>
                <w:rFonts w:hint="eastAsia"/>
                <w:color w:val="auto"/>
                <w:szCs w:val="24"/>
              </w:rPr>
              <w:t>互联网边界安全服务</w:t>
            </w:r>
          </w:p>
        </w:tc>
        <w:tc>
          <w:tcPr>
            <w:tcW w:w="3598" w:type="pct"/>
            <w:vAlign w:val="center"/>
          </w:tcPr>
          <w:p w14:paraId="2216931C">
            <w:pPr>
              <w:rPr>
                <w:rFonts w:hint="eastAsia"/>
                <w:color w:val="auto"/>
                <w:szCs w:val="24"/>
              </w:rPr>
            </w:pPr>
            <w:r>
              <w:rPr>
                <w:rFonts w:hint="eastAsia"/>
                <w:color w:val="auto"/>
                <w:szCs w:val="24"/>
              </w:rPr>
              <w:t>本项服务需提供互联网边界安全服务工具，服务期限1年，工具具体要求如下：</w:t>
            </w:r>
          </w:p>
          <w:p w14:paraId="66E89477">
            <w:pPr>
              <w:rPr>
                <w:rFonts w:hint="eastAsia"/>
                <w:color w:val="auto"/>
              </w:rPr>
            </w:pPr>
            <w:r>
              <w:rPr>
                <w:rFonts w:hint="eastAsia"/>
                <w:color w:val="auto"/>
              </w:rPr>
              <w:t>1、性能指标：网络层吞吐量≥40Gbps，IPS吞吐量≥3.5bps，全威胁吞吐量≥2bps,并发连接数≥420万，每秒新建连接数≥19万；</w:t>
            </w:r>
          </w:p>
          <w:p w14:paraId="095A2A8C">
            <w:pPr>
              <w:rPr>
                <w:rFonts w:hint="eastAsia"/>
                <w:color w:val="auto"/>
              </w:rPr>
            </w:pPr>
            <w:r>
              <w:rPr>
                <w:rFonts w:hint="eastAsia"/>
                <w:color w:val="auto"/>
              </w:rPr>
              <w:t>2、硬件指标：内存≥16G，硬盘≥256G SSD，接口≥16个千兆电口，≥6万兆光口；</w:t>
            </w:r>
          </w:p>
          <w:p w14:paraId="59D12B1A">
            <w:pPr>
              <w:rPr>
                <w:rFonts w:hint="eastAsia"/>
                <w:color w:val="auto"/>
              </w:rPr>
            </w:pPr>
            <w:r>
              <w:rPr>
                <w:rFonts w:hint="eastAsia"/>
                <w:color w:val="auto"/>
              </w:rPr>
              <w:t>3、该服务工具支持路由类型、协议类型、网络对象、国家地区等条件进行自动选路的策略路由，支持不少于3种的调度算法，至少包括带宽比例、加权流量、线路优先等；</w:t>
            </w:r>
          </w:p>
          <w:p w14:paraId="62332F9D">
            <w:pPr>
              <w:rPr>
                <w:rFonts w:hint="eastAsia"/>
                <w:color w:val="auto"/>
              </w:rPr>
            </w:pPr>
            <w:r>
              <w:rPr>
                <w:rFonts w:hint="eastAsia"/>
                <w:color w:val="auto"/>
              </w:rPr>
              <w:t>4、该服务工具支持对应用的识别和控制；</w:t>
            </w:r>
          </w:p>
          <w:p w14:paraId="15EF5771">
            <w:pPr>
              <w:rPr>
                <w:rFonts w:hint="eastAsia"/>
                <w:color w:val="auto"/>
              </w:rPr>
            </w:pPr>
            <w:r>
              <w:rPr>
                <w:rFonts w:hint="eastAsia"/>
                <w:color w:val="auto"/>
              </w:rPr>
              <w:t>5、该服务工具支持对压缩病毒文件进行检测和拦截，压缩层数支持15层及以上；（需提供的相关功能认证证书复印件或服务工具操作界面截图并加盖投标人公章）</w:t>
            </w:r>
          </w:p>
          <w:p w14:paraId="7DEDCE51">
            <w:pPr>
              <w:rPr>
                <w:rFonts w:hint="eastAsia"/>
                <w:color w:val="auto"/>
              </w:rPr>
            </w:pPr>
            <w:r>
              <w:rPr>
                <w:rFonts w:hint="eastAsia"/>
                <w:color w:val="auto"/>
              </w:rPr>
              <w:t>6、该服务工具支持僵尸主机检测功能，该服务工具内置僵尸网络特征库，可识别主机的异常外联行为；</w:t>
            </w:r>
          </w:p>
          <w:p w14:paraId="35E1FA39">
            <w:pPr>
              <w:rPr>
                <w:rFonts w:hint="eastAsia"/>
                <w:color w:val="auto"/>
              </w:rPr>
            </w:pPr>
            <w:r>
              <w:rPr>
                <w:rFonts w:hint="eastAsia"/>
                <w:color w:val="auto"/>
              </w:rPr>
              <w:t>7、该服务工具</w:t>
            </w:r>
            <w:r>
              <w:rPr>
                <w:color w:val="auto"/>
              </w:rPr>
              <w:t>内置漏洞规则，同时支持在控制台界面通过漏洞ID、漏洞名称、危险等级、漏洞CVE标识、漏洞描述等条件查询漏洞特征信息，支持用户自定义IPS规则</w:t>
            </w:r>
            <w:r>
              <w:rPr>
                <w:rFonts w:hint="eastAsia"/>
                <w:color w:val="auto"/>
              </w:rPr>
              <w:t>；（需提供的相关功能认证证书复印件或服务工具操作界面截图并加盖投标人公章）</w:t>
            </w:r>
          </w:p>
          <w:p w14:paraId="28AE147D">
            <w:pPr>
              <w:rPr>
                <w:rFonts w:hint="eastAsia"/>
                <w:color w:val="auto"/>
              </w:rPr>
            </w:pPr>
            <w:r>
              <w:rPr>
                <w:rFonts w:hint="eastAsia"/>
                <w:color w:val="auto"/>
              </w:rPr>
              <w:t xml:space="preserve">8、产品支持异常数据包攻击防御，防护类型包括IP数据块分片传输防护、Teardrop攻击防护、Smurf攻击防护、Land攻击防护、WinNuke攻击防护等攻击类型； </w:t>
            </w:r>
          </w:p>
          <w:p w14:paraId="6359BABC">
            <w:pPr>
              <w:rPr>
                <w:rFonts w:hint="eastAsia"/>
                <w:color w:val="auto"/>
                <w:szCs w:val="24"/>
              </w:rPr>
            </w:pPr>
            <w:r>
              <w:rPr>
                <w:rFonts w:hint="eastAsia"/>
                <w:color w:val="auto"/>
              </w:rPr>
              <w:t>9、该服务工具内置WEB应用攻击特征，支持对跨站脚本（XSS）攻击、SQL注入、文件包含攻击、信息泄露攻击、WEBSHELL、网站扫描、网页木马等攻击类型进行防护；</w:t>
            </w:r>
          </w:p>
        </w:tc>
      </w:tr>
      <w:tr w14:paraId="49DE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5B141010">
            <w:pPr>
              <w:jc w:val="center"/>
              <w:rPr>
                <w:rFonts w:hint="eastAsia"/>
                <w:color w:val="auto"/>
                <w:szCs w:val="24"/>
              </w:rPr>
            </w:pPr>
            <w:r>
              <w:rPr>
                <w:rFonts w:hint="eastAsia"/>
                <w:color w:val="auto"/>
                <w:szCs w:val="24"/>
              </w:rPr>
              <w:t>2</w:t>
            </w:r>
          </w:p>
        </w:tc>
        <w:tc>
          <w:tcPr>
            <w:tcW w:w="758" w:type="pct"/>
            <w:vAlign w:val="center"/>
          </w:tcPr>
          <w:p w14:paraId="6EAE4ED3">
            <w:pPr>
              <w:jc w:val="center"/>
              <w:rPr>
                <w:rFonts w:hint="eastAsia"/>
                <w:color w:val="auto"/>
                <w:szCs w:val="24"/>
              </w:rPr>
            </w:pPr>
            <w:r>
              <w:rPr>
                <w:rFonts w:hint="eastAsia"/>
                <w:color w:val="auto"/>
                <w:szCs w:val="24"/>
              </w:rPr>
              <w:t>服务器边界安全服务</w:t>
            </w:r>
          </w:p>
        </w:tc>
        <w:tc>
          <w:tcPr>
            <w:tcW w:w="3598" w:type="pct"/>
            <w:vAlign w:val="center"/>
          </w:tcPr>
          <w:p w14:paraId="0242AC93">
            <w:pPr>
              <w:rPr>
                <w:rFonts w:hint="eastAsia"/>
                <w:color w:val="auto"/>
                <w:szCs w:val="24"/>
              </w:rPr>
            </w:pPr>
            <w:r>
              <w:rPr>
                <w:rFonts w:hint="eastAsia"/>
                <w:color w:val="auto"/>
                <w:szCs w:val="24"/>
              </w:rPr>
              <w:t>本项服务需提供一台下服务器边界安全服务工具，服务期限1年，工具具体要求如下：</w:t>
            </w:r>
          </w:p>
          <w:p w14:paraId="7D8CBA95">
            <w:pPr>
              <w:rPr>
                <w:rFonts w:hint="eastAsia"/>
                <w:color w:val="auto"/>
              </w:rPr>
            </w:pPr>
            <w:r>
              <w:rPr>
                <w:rFonts w:hint="eastAsia"/>
                <w:color w:val="auto"/>
              </w:rPr>
              <w:t>1、性能指标：网络层吞吐量≥50Gbps，IPS吞吐量≥6bps，全威胁吞吐量≥3.5Gbps,并发连接数≥800万，每秒新建连接数≥35万；</w:t>
            </w:r>
          </w:p>
          <w:p w14:paraId="0018CF0C">
            <w:pPr>
              <w:rPr>
                <w:rFonts w:hint="eastAsia"/>
                <w:color w:val="auto"/>
              </w:rPr>
            </w:pPr>
            <w:r>
              <w:rPr>
                <w:rFonts w:hint="eastAsia"/>
                <w:color w:val="auto"/>
              </w:rPr>
              <w:t>2、硬件指标：内存≥32G，硬盘≥128G SSD+480G SSD，接口≥16个千兆电口，≥6万兆光口；</w:t>
            </w:r>
          </w:p>
          <w:p w14:paraId="2DF4B68A">
            <w:pPr>
              <w:rPr>
                <w:rFonts w:hint="eastAsia"/>
                <w:color w:val="auto"/>
              </w:rPr>
            </w:pPr>
            <w:r>
              <w:rPr>
                <w:rFonts w:hint="eastAsia"/>
                <w:color w:val="auto"/>
                <w:lang w:val="en-US" w:eastAsia="zh-CN"/>
              </w:rPr>
              <w:t>3</w:t>
            </w:r>
            <w:r>
              <w:rPr>
                <w:rFonts w:hint="eastAsia"/>
                <w:color w:val="auto"/>
              </w:rPr>
              <w:t>、</w:t>
            </w:r>
            <w:r>
              <w:rPr>
                <w:rFonts w:hint="eastAsia" w:ascii="宋体" w:hAnsi="宋体" w:eastAsia="宋体" w:cs="宋体"/>
                <w:i w:val="0"/>
                <w:iCs w:val="0"/>
                <w:caps w:val="0"/>
                <w:color w:val="auto"/>
                <w:spacing w:val="0"/>
                <w:sz w:val="24"/>
                <w:szCs w:val="24"/>
                <w:shd w:val="clear" w:fill="FFFFFF"/>
              </w:rPr>
              <w:t>该服务工具支持对应用的识别和控制，应用类型包括数据库、远程登录、木马控制、FTP、代理工具等类型应用进行检测与控制</w:t>
            </w:r>
            <w:r>
              <w:rPr>
                <w:rFonts w:ascii="微软雅黑" w:hAnsi="微软雅黑" w:eastAsia="微软雅黑" w:cs="微软雅黑"/>
                <w:i w:val="0"/>
                <w:iCs w:val="0"/>
                <w:caps w:val="0"/>
                <w:color w:val="auto"/>
                <w:spacing w:val="0"/>
                <w:sz w:val="24"/>
                <w:szCs w:val="24"/>
                <w:shd w:val="clear" w:fill="FFFFFF"/>
              </w:rPr>
              <w:t>；</w:t>
            </w:r>
            <w:r>
              <w:rPr>
                <w:rFonts w:hint="eastAsia"/>
                <w:color w:val="auto"/>
              </w:rPr>
              <w:t>（需提供的相关功能认证证书复印件或服务工具操作界面截图并加盖投标人公章）</w:t>
            </w:r>
          </w:p>
          <w:p w14:paraId="50F1D64E">
            <w:pPr>
              <w:rPr>
                <w:rFonts w:hint="eastAsia"/>
                <w:color w:val="auto"/>
              </w:rPr>
            </w:pPr>
            <w:r>
              <w:rPr>
                <w:rFonts w:hint="eastAsia"/>
                <w:color w:val="auto"/>
                <w:lang w:val="en-US" w:eastAsia="zh-CN"/>
              </w:rPr>
              <w:t>4</w:t>
            </w:r>
            <w:r>
              <w:rPr>
                <w:rFonts w:hint="eastAsia"/>
                <w:color w:val="auto"/>
              </w:rPr>
              <w:t>、该服务工具支持僵尸主机检测功能，服务工具内置僵尸网络特征库，可识别主机的异常外联行为；</w:t>
            </w:r>
          </w:p>
          <w:p w14:paraId="2687E71A">
            <w:pPr>
              <w:rPr>
                <w:rFonts w:hint="eastAsia"/>
                <w:color w:val="auto"/>
              </w:rPr>
            </w:pPr>
            <w:r>
              <w:rPr>
                <w:rFonts w:hint="eastAsia"/>
                <w:color w:val="auto"/>
                <w:lang w:val="en-US" w:eastAsia="zh-CN"/>
              </w:rPr>
              <w:t>5</w:t>
            </w:r>
            <w:r>
              <w:rPr>
                <w:rFonts w:hint="eastAsia"/>
                <w:color w:val="auto"/>
              </w:rPr>
              <w:t>、该服务工具</w:t>
            </w:r>
            <w:r>
              <w:rPr>
                <w:color w:val="auto"/>
              </w:rPr>
              <w:t>内置漏洞规则，同时支持在控制台界面通过漏洞ID、漏洞名称、危险等级、漏洞CVE标识、漏洞描述等条件查询漏洞特征信息，支持用户自定义IPS规则</w:t>
            </w:r>
            <w:r>
              <w:rPr>
                <w:rFonts w:hint="eastAsia"/>
                <w:color w:val="auto"/>
              </w:rPr>
              <w:t>；</w:t>
            </w:r>
            <w:r>
              <w:rPr>
                <w:color w:val="auto"/>
              </w:rPr>
              <w:t xml:space="preserve">（需提供的相关功能认证证书复印件或服务工具操作界面截图并加盖投标人公章） </w:t>
            </w:r>
          </w:p>
          <w:p w14:paraId="604AF7F1">
            <w:pPr>
              <w:rPr>
                <w:rFonts w:hint="eastAsia"/>
                <w:color w:val="auto"/>
              </w:rPr>
            </w:pPr>
            <w:r>
              <w:rPr>
                <w:rFonts w:hint="eastAsia"/>
                <w:color w:val="auto"/>
                <w:lang w:val="en-US" w:eastAsia="zh-CN"/>
              </w:rPr>
              <w:t>6</w:t>
            </w:r>
            <w:r>
              <w:rPr>
                <w:rFonts w:hint="eastAsia"/>
                <w:color w:val="auto"/>
              </w:rPr>
              <w:t>、 支持被动监测和主动扫描两种资产识别方式，可梳理离线资产、高危端口开放、冗余端口等安全风险；同时通过可视化的拓扑关系图，直观地展示资产和资产之间的访问关系、访问细节协议端口等信息；</w:t>
            </w:r>
            <w:r>
              <w:rPr>
                <w:color w:val="auto"/>
              </w:rPr>
              <w:t>（需提供的相关功能认证证书复印件或服务工具操作界面截图并加盖投标人公章）</w:t>
            </w:r>
          </w:p>
          <w:p w14:paraId="52575FB2">
            <w:pPr>
              <w:rPr>
                <w:rFonts w:hint="eastAsia"/>
                <w:color w:val="auto"/>
              </w:rPr>
            </w:pPr>
            <w:r>
              <w:rPr>
                <w:rFonts w:hint="eastAsia"/>
                <w:color w:val="auto"/>
                <w:lang w:val="en-US" w:eastAsia="zh-CN"/>
              </w:rPr>
              <w:t>7</w:t>
            </w:r>
            <w:r>
              <w:rPr>
                <w:rFonts w:hint="eastAsia"/>
                <w:color w:val="auto"/>
              </w:rPr>
              <w:t>、该服务工具内置WEB应用攻击特征，支持对跨站脚本（XSS）攻击、SQL注入、文件包含攻击、信息泄露攻击、WEBSHELL、网站扫描、网页木马等攻击类型进行防护；</w:t>
            </w:r>
          </w:p>
        </w:tc>
      </w:tr>
      <w:tr w14:paraId="4D27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042A910F">
            <w:pPr>
              <w:jc w:val="center"/>
              <w:rPr>
                <w:rFonts w:hint="eastAsia"/>
                <w:color w:val="auto"/>
                <w:szCs w:val="24"/>
              </w:rPr>
            </w:pPr>
            <w:r>
              <w:rPr>
                <w:rFonts w:hint="eastAsia"/>
                <w:color w:val="auto"/>
                <w:szCs w:val="24"/>
              </w:rPr>
              <w:t>3</w:t>
            </w:r>
          </w:p>
        </w:tc>
        <w:tc>
          <w:tcPr>
            <w:tcW w:w="758" w:type="pct"/>
            <w:vAlign w:val="center"/>
          </w:tcPr>
          <w:p w14:paraId="7FB47E9A">
            <w:pPr>
              <w:jc w:val="center"/>
              <w:rPr>
                <w:rFonts w:hint="eastAsia"/>
                <w:color w:val="auto"/>
                <w:szCs w:val="24"/>
              </w:rPr>
            </w:pPr>
            <w:r>
              <w:rPr>
                <w:rFonts w:hint="eastAsia"/>
                <w:color w:val="auto"/>
                <w:szCs w:val="24"/>
              </w:rPr>
              <w:t>互联网边界上网行为监测与审计服务</w:t>
            </w:r>
          </w:p>
        </w:tc>
        <w:tc>
          <w:tcPr>
            <w:tcW w:w="3598" w:type="pct"/>
            <w:vAlign w:val="center"/>
          </w:tcPr>
          <w:p w14:paraId="1BD399DF">
            <w:pPr>
              <w:rPr>
                <w:rFonts w:hint="eastAsia"/>
                <w:color w:val="auto"/>
                <w:szCs w:val="24"/>
              </w:rPr>
            </w:pPr>
            <w:r>
              <w:rPr>
                <w:rFonts w:hint="eastAsia"/>
                <w:color w:val="auto"/>
                <w:szCs w:val="24"/>
              </w:rPr>
              <w:t>本项服务需提供互联网边界上网行为监测与审计服务工具，服务期限1年，工具具体要求如下：</w:t>
            </w:r>
          </w:p>
          <w:p w14:paraId="3AA9BD92">
            <w:pPr>
              <w:rPr>
                <w:rFonts w:hint="eastAsia" w:cs="Times New Roman"/>
                <w:color w:val="auto"/>
                <w:szCs w:val="24"/>
              </w:rPr>
            </w:pPr>
            <w:r>
              <w:rPr>
                <w:rFonts w:hint="eastAsia" w:cs="Times New Roman"/>
                <w:color w:val="auto"/>
                <w:szCs w:val="24"/>
              </w:rPr>
              <w:t>1、性能指标：网络层吞吐量≥5.8Gbps，并发连接数≥50W，新建连接数≥10000，支持用户数≥4000；</w:t>
            </w:r>
          </w:p>
          <w:p w14:paraId="3376F20A">
            <w:pPr>
              <w:rPr>
                <w:rFonts w:hint="eastAsia" w:cs="Times New Roman"/>
                <w:color w:val="auto"/>
                <w:szCs w:val="24"/>
              </w:rPr>
            </w:pPr>
            <w:r>
              <w:rPr>
                <w:rFonts w:hint="eastAsia" w:cs="Times New Roman"/>
                <w:color w:val="auto"/>
                <w:szCs w:val="24"/>
              </w:rPr>
              <w:t>2、硬件指标：1U规格；存储</w:t>
            </w:r>
            <w:r>
              <w:rPr>
                <w:rFonts w:hint="eastAsia" w:cs="Times New Roman"/>
                <w:color w:val="auto"/>
                <w:szCs w:val="24"/>
                <w:lang w:val="zh-CN"/>
              </w:rPr>
              <w:t>≥</w:t>
            </w:r>
            <w:r>
              <w:rPr>
                <w:rFonts w:hint="eastAsia" w:cs="Times New Roman"/>
                <w:color w:val="auto"/>
                <w:szCs w:val="24"/>
              </w:rPr>
              <w:t>128G SSD+960G SSD；单电源；标配</w:t>
            </w:r>
            <w:r>
              <w:rPr>
                <w:rFonts w:hint="eastAsia" w:cs="Times New Roman"/>
                <w:color w:val="auto"/>
                <w:szCs w:val="24"/>
                <w:lang w:val="zh-CN"/>
              </w:rPr>
              <w:t>≥</w:t>
            </w:r>
            <w:r>
              <w:rPr>
                <w:rFonts w:hint="eastAsia" w:cs="Times New Roman"/>
                <w:color w:val="auto"/>
                <w:szCs w:val="24"/>
              </w:rPr>
              <w:t>6个千兆电口，≥2个万兆光口；</w:t>
            </w:r>
          </w:p>
          <w:p w14:paraId="345055F2">
            <w:pPr>
              <w:rPr>
                <w:rFonts w:hint="eastAsia" w:cs="Times New Roman"/>
                <w:color w:val="auto"/>
                <w:szCs w:val="24"/>
              </w:rPr>
            </w:pPr>
            <w:r>
              <w:rPr>
                <w:rFonts w:hint="eastAsia" w:cs="Times New Roman"/>
                <w:color w:val="auto"/>
                <w:szCs w:val="24"/>
              </w:rPr>
              <w:t>3、</w:t>
            </w:r>
            <w:r>
              <w:rPr>
                <w:rFonts w:hint="eastAsia"/>
                <w:color w:val="auto"/>
              </w:rPr>
              <w:t>该服务工具</w:t>
            </w:r>
            <w:r>
              <w:rPr>
                <w:rFonts w:hint="eastAsia" w:cs="Times New Roman"/>
                <w:color w:val="auto"/>
                <w:szCs w:val="24"/>
              </w:rPr>
              <w:t>支持两台及两台以上设备同时做主机的部署模式；</w:t>
            </w:r>
          </w:p>
          <w:p w14:paraId="0801C03A">
            <w:pPr>
              <w:rPr>
                <w:rFonts w:hint="eastAsia" w:cs="Times New Roman"/>
                <w:color w:val="auto"/>
                <w:szCs w:val="24"/>
              </w:rPr>
            </w:pPr>
            <w:r>
              <w:rPr>
                <w:rFonts w:hint="eastAsia" w:cs="Times New Roman"/>
                <w:color w:val="auto"/>
                <w:szCs w:val="24"/>
              </w:rPr>
              <w:t>4、</w:t>
            </w:r>
            <w:r>
              <w:rPr>
                <w:rFonts w:hint="eastAsia"/>
                <w:color w:val="auto"/>
              </w:rPr>
              <w:t>该服务工具</w:t>
            </w:r>
            <w:r>
              <w:rPr>
                <w:rFonts w:hint="eastAsia" w:cs="Times New Roman"/>
                <w:color w:val="auto"/>
                <w:szCs w:val="24"/>
              </w:rPr>
              <w:t xml:space="preserve">支持首页分析显示接入用户人数、终端类型；带宽质量分析、实时流量排名；资产类型分布、新设备发现趋势、终端违规检查项排行、终端违规用户排行；（需提供的相关功能认证证书复印件或服务工具操作界面截图并加盖投标人公章） </w:t>
            </w:r>
          </w:p>
          <w:p w14:paraId="6BC3D306">
            <w:pPr>
              <w:rPr>
                <w:rFonts w:hint="eastAsia" w:cs="Times New Roman"/>
                <w:color w:val="auto"/>
                <w:szCs w:val="24"/>
              </w:rPr>
            </w:pPr>
            <w:r>
              <w:rPr>
                <w:rFonts w:hint="eastAsia" w:cs="Times New Roman"/>
                <w:color w:val="auto"/>
                <w:szCs w:val="24"/>
              </w:rPr>
              <w:t xml:space="preserve">5、针对内网用户的web访问质量进行检测，对整体网络提供清晰的整体网络质量评级；（需提供的相关功能认证证书复印件或服务工具操作界面截图并加盖投标人公章） </w:t>
            </w:r>
          </w:p>
          <w:p w14:paraId="3CD4A00C">
            <w:pPr>
              <w:rPr>
                <w:rFonts w:hint="eastAsia" w:cs="Times New Roman"/>
                <w:color w:val="auto"/>
                <w:szCs w:val="24"/>
              </w:rPr>
            </w:pPr>
            <w:r>
              <w:rPr>
                <w:rFonts w:hint="eastAsia" w:cs="Times New Roman"/>
                <w:color w:val="auto"/>
                <w:szCs w:val="24"/>
              </w:rPr>
              <w:t>6、</w:t>
            </w:r>
            <w:r>
              <w:rPr>
                <w:rFonts w:hint="eastAsia"/>
                <w:color w:val="auto"/>
              </w:rPr>
              <w:t>该服务工具</w:t>
            </w:r>
            <w:r>
              <w:rPr>
                <w:rFonts w:hint="eastAsia" w:cs="Times New Roman"/>
                <w:color w:val="auto"/>
                <w:szCs w:val="24"/>
              </w:rPr>
              <w:t>支持通过OAuth认证协议对接，支持企业微信第三方账号授权认证；同时支持企业微信平台支持同步组织结构，用户通过企业微信认证上线，本地会创建与认证服务器上对应的用户组，用户会上线到对应创建的组；（需提供的相关功能认证证书复印件或服务工具操作界面截图并加盖投标人公章）</w:t>
            </w:r>
          </w:p>
          <w:p w14:paraId="1451243E">
            <w:pPr>
              <w:rPr>
                <w:rFonts w:hint="eastAsia" w:cs="Times New Roman"/>
                <w:color w:val="auto"/>
                <w:szCs w:val="24"/>
              </w:rPr>
            </w:pPr>
            <w:r>
              <w:rPr>
                <w:rFonts w:hint="eastAsia" w:cs="Times New Roman"/>
                <w:color w:val="auto"/>
                <w:szCs w:val="24"/>
              </w:rPr>
              <w:t>7、</w:t>
            </w:r>
            <w:r>
              <w:rPr>
                <w:rFonts w:hint="eastAsia"/>
                <w:color w:val="auto"/>
              </w:rPr>
              <w:t>该服务工具</w:t>
            </w:r>
            <w:r>
              <w:rPr>
                <w:rFonts w:hint="eastAsia" w:cs="Times New Roman"/>
                <w:color w:val="auto"/>
                <w:szCs w:val="24"/>
              </w:rPr>
              <w:t xml:space="preserve">支持在设置流量策略后，根据整体线路或者某流量通道内的空闲情况，自动启用和停止使用流量控制策略，以提升带宽的高使用率；空闲值可自定义；（需提供的相关功能认证证书复印件或服务工具操作界面截图并加盖投标人公章） </w:t>
            </w:r>
          </w:p>
          <w:p w14:paraId="31B1E249">
            <w:pPr>
              <w:widowControl w:val="0"/>
              <w:rPr>
                <w:rFonts w:hint="eastAsia"/>
                <w:color w:val="auto"/>
              </w:rPr>
            </w:pPr>
            <w:r>
              <w:rPr>
                <w:rFonts w:hint="eastAsia"/>
                <w:color w:val="auto"/>
              </w:rPr>
              <w:t>8、该服务工具</w:t>
            </w:r>
            <w:r>
              <w:rPr>
                <w:rFonts w:hint="eastAsia" w:cs="Times New Roman"/>
                <w:color w:val="auto"/>
                <w:szCs w:val="24"/>
              </w:rPr>
              <w:t xml:space="preserve">支持网页恶意链接检测功能，有效识别网页盗链/黑链的行为（包括包括钓鱼及恶意网站、漏洞利用、挖矿页面、恶意跳转、跨站脚本攻击和病毒文件等），避免用户网页资源被滥用，支持实时阻断和告警；（需提供的相关功能认证证书复印件或服务工具操作界面截图并加盖投标人公章） </w:t>
            </w:r>
          </w:p>
        </w:tc>
      </w:tr>
      <w:tr w14:paraId="40C4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0DF4BE88">
            <w:pPr>
              <w:jc w:val="center"/>
              <w:rPr>
                <w:rFonts w:hint="eastAsia"/>
                <w:color w:val="auto"/>
                <w:szCs w:val="24"/>
              </w:rPr>
            </w:pPr>
            <w:r>
              <w:rPr>
                <w:rFonts w:hint="eastAsia"/>
                <w:color w:val="auto"/>
                <w:szCs w:val="24"/>
              </w:rPr>
              <w:t>4</w:t>
            </w:r>
          </w:p>
        </w:tc>
        <w:tc>
          <w:tcPr>
            <w:tcW w:w="758" w:type="pct"/>
            <w:vAlign w:val="center"/>
          </w:tcPr>
          <w:p w14:paraId="72743F34">
            <w:pPr>
              <w:jc w:val="center"/>
              <w:rPr>
                <w:rFonts w:hint="eastAsia"/>
                <w:color w:val="auto"/>
                <w:szCs w:val="24"/>
              </w:rPr>
            </w:pPr>
            <w:r>
              <w:rPr>
                <w:rFonts w:hint="eastAsia"/>
                <w:color w:val="auto"/>
                <w:szCs w:val="24"/>
              </w:rPr>
              <w:t>DMZ区域Web应用安全服务</w:t>
            </w:r>
          </w:p>
        </w:tc>
        <w:tc>
          <w:tcPr>
            <w:tcW w:w="3598" w:type="pct"/>
            <w:vAlign w:val="center"/>
          </w:tcPr>
          <w:p w14:paraId="04CF0769">
            <w:pPr>
              <w:rPr>
                <w:rFonts w:hint="eastAsia"/>
                <w:color w:val="auto"/>
                <w:szCs w:val="24"/>
              </w:rPr>
            </w:pPr>
            <w:r>
              <w:rPr>
                <w:rFonts w:hint="eastAsia"/>
                <w:color w:val="auto"/>
                <w:szCs w:val="24"/>
              </w:rPr>
              <w:t>本项服务需提供一台DMZ区域Web应用安全服务工具，服务期限1年，工具具体要求如下：</w:t>
            </w:r>
          </w:p>
          <w:p w14:paraId="6EA846B6">
            <w:pPr>
              <w:rPr>
                <w:rFonts w:hint="eastAsia"/>
                <w:color w:val="auto"/>
                <w:szCs w:val="24"/>
              </w:rPr>
            </w:pPr>
            <w:r>
              <w:rPr>
                <w:rFonts w:hint="eastAsia"/>
                <w:color w:val="auto"/>
                <w:szCs w:val="24"/>
              </w:rPr>
              <w:t>1、</w:t>
            </w:r>
            <w:r>
              <w:rPr>
                <w:rFonts w:hint="eastAsia"/>
                <w:color w:val="auto"/>
              </w:rPr>
              <w:t>该服务工具</w:t>
            </w:r>
            <w:r>
              <w:rPr>
                <w:rFonts w:hint="eastAsia"/>
                <w:color w:val="auto"/>
                <w:szCs w:val="24"/>
              </w:rPr>
              <w:t>网络层吞吐量≥20G，HTTP应用层吞吐量≥800M，HTTP新建连接数≥10万，HTTP并发连接数≥350万。</w:t>
            </w:r>
          </w:p>
          <w:p w14:paraId="40D9BDA0">
            <w:pPr>
              <w:rPr>
                <w:rFonts w:hint="eastAsia"/>
                <w:color w:val="auto"/>
                <w:szCs w:val="24"/>
              </w:rPr>
            </w:pPr>
            <w:r>
              <w:rPr>
                <w:rFonts w:hint="eastAsia"/>
                <w:color w:val="auto"/>
                <w:szCs w:val="24"/>
              </w:rPr>
              <w:t>2、</w:t>
            </w:r>
            <w:r>
              <w:rPr>
                <w:rFonts w:hint="eastAsia"/>
                <w:color w:val="auto"/>
              </w:rPr>
              <w:t>该服务工具</w:t>
            </w:r>
            <w:r>
              <w:rPr>
                <w:rFonts w:hint="eastAsia"/>
                <w:color w:val="auto"/>
                <w:szCs w:val="24"/>
              </w:rPr>
              <w:t>内存大小≥8G，硬盘容量≥128G SSD，单电源，接口≥8千兆电口+2万兆光口SFP+。</w:t>
            </w:r>
          </w:p>
          <w:p w14:paraId="67F9EFA3">
            <w:pPr>
              <w:rPr>
                <w:rFonts w:hint="eastAsia"/>
                <w:color w:val="auto"/>
                <w:szCs w:val="24"/>
              </w:rPr>
            </w:pPr>
            <w:r>
              <w:rPr>
                <w:rFonts w:hint="eastAsia"/>
                <w:color w:val="auto"/>
                <w:szCs w:val="24"/>
              </w:rPr>
              <w:t>3、</w:t>
            </w:r>
            <w:r>
              <w:rPr>
                <w:rFonts w:hint="eastAsia"/>
                <w:color w:val="auto"/>
              </w:rPr>
              <w:t>该服务工具</w:t>
            </w:r>
            <w:r>
              <w:rPr>
                <w:rFonts w:hint="eastAsia"/>
                <w:color w:val="auto"/>
                <w:szCs w:val="24"/>
              </w:rPr>
              <w:t xml:space="preserve">支持服务器漏洞防扫描功能，并对扫描源IP进行日志记录和联动封锁；（需提供的相关功能认证证书复印件或服务工具操作界面截图并加盖投标人公章） </w:t>
            </w:r>
          </w:p>
          <w:p w14:paraId="01F76093">
            <w:pPr>
              <w:rPr>
                <w:rFonts w:hint="eastAsia"/>
                <w:color w:val="auto"/>
                <w:szCs w:val="24"/>
              </w:rPr>
            </w:pPr>
            <w:r>
              <w:rPr>
                <w:rFonts w:hint="eastAsia"/>
                <w:color w:val="auto"/>
                <w:szCs w:val="24"/>
              </w:rPr>
              <w:t>4、</w:t>
            </w:r>
            <w:r>
              <w:rPr>
                <w:rFonts w:hint="eastAsia"/>
                <w:color w:val="auto"/>
              </w:rPr>
              <w:t>该服务工具</w:t>
            </w:r>
            <w:r>
              <w:rPr>
                <w:rFonts w:hint="eastAsia"/>
                <w:color w:val="auto"/>
                <w:szCs w:val="24"/>
              </w:rPr>
              <w:t>支持对压缩病毒文件进行检测和拦截，压缩层数支持15层及以上；</w:t>
            </w:r>
          </w:p>
          <w:p w14:paraId="2EDD0B57">
            <w:pPr>
              <w:rPr>
                <w:rFonts w:hint="eastAsia"/>
                <w:color w:val="auto"/>
                <w:szCs w:val="24"/>
              </w:rPr>
            </w:pPr>
            <w:r>
              <w:rPr>
                <w:rFonts w:hint="eastAsia"/>
                <w:color w:val="auto"/>
                <w:szCs w:val="24"/>
              </w:rPr>
              <w:t>5、</w:t>
            </w:r>
            <w:r>
              <w:rPr>
                <w:rFonts w:hint="eastAsia"/>
                <w:color w:val="auto"/>
              </w:rPr>
              <w:t>该服务工具</w:t>
            </w:r>
            <w:r>
              <w:rPr>
                <w:rFonts w:hint="eastAsia"/>
                <w:color w:val="auto"/>
                <w:szCs w:val="24"/>
              </w:rPr>
              <w:t xml:space="preserve">支持Cookie攻击防护功能，并通过日志记录Cookie被篡改；（需提供的相关功能认证证书复印件或服务工具操作界面截图并加盖投标人公章） </w:t>
            </w:r>
          </w:p>
          <w:p w14:paraId="22629414">
            <w:pPr>
              <w:rPr>
                <w:rFonts w:hint="eastAsia"/>
                <w:color w:val="auto"/>
                <w:szCs w:val="24"/>
              </w:rPr>
            </w:pPr>
            <w:r>
              <w:rPr>
                <w:rFonts w:hint="eastAsia"/>
                <w:color w:val="auto"/>
                <w:szCs w:val="24"/>
              </w:rPr>
              <w:t>6、</w:t>
            </w:r>
            <w:r>
              <w:rPr>
                <w:rFonts w:hint="eastAsia"/>
                <w:color w:val="auto"/>
              </w:rPr>
              <w:t>该服务工具</w:t>
            </w:r>
            <w:r>
              <w:rPr>
                <w:rFonts w:hint="eastAsia"/>
                <w:color w:val="auto"/>
                <w:szCs w:val="24"/>
              </w:rPr>
              <w:t>内置应用攻击特征，支持对跨站脚本（XSS）攻击、SQL注入、文件包含攻击、信息泄露攻击、WEBSHELL、网站扫描、网页木马等攻击类型进行防护；</w:t>
            </w:r>
          </w:p>
        </w:tc>
      </w:tr>
      <w:tr w14:paraId="5C8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1C0E6427">
            <w:pPr>
              <w:jc w:val="center"/>
              <w:rPr>
                <w:rFonts w:hint="eastAsia"/>
                <w:color w:val="auto"/>
                <w:szCs w:val="24"/>
              </w:rPr>
            </w:pPr>
            <w:r>
              <w:rPr>
                <w:rFonts w:hint="eastAsia"/>
                <w:color w:val="auto"/>
                <w:szCs w:val="24"/>
              </w:rPr>
              <w:t>5</w:t>
            </w:r>
          </w:p>
        </w:tc>
        <w:tc>
          <w:tcPr>
            <w:tcW w:w="758" w:type="pct"/>
            <w:vAlign w:val="center"/>
          </w:tcPr>
          <w:p w14:paraId="4B54C44B">
            <w:pPr>
              <w:jc w:val="center"/>
              <w:rPr>
                <w:rFonts w:hint="eastAsia"/>
                <w:color w:val="auto"/>
                <w:szCs w:val="24"/>
              </w:rPr>
            </w:pPr>
            <w:r>
              <w:rPr>
                <w:rFonts w:hint="eastAsia"/>
                <w:color w:val="auto"/>
                <w:szCs w:val="24"/>
              </w:rPr>
              <w:t>态势感知探针服务</w:t>
            </w:r>
          </w:p>
        </w:tc>
        <w:tc>
          <w:tcPr>
            <w:tcW w:w="3598" w:type="pct"/>
            <w:vAlign w:val="center"/>
          </w:tcPr>
          <w:p w14:paraId="74C0D9F6">
            <w:pPr>
              <w:rPr>
                <w:rFonts w:hint="eastAsia"/>
                <w:color w:val="auto"/>
                <w:szCs w:val="24"/>
              </w:rPr>
            </w:pPr>
            <w:r>
              <w:rPr>
                <w:rFonts w:hint="eastAsia"/>
                <w:color w:val="auto"/>
                <w:szCs w:val="24"/>
              </w:rPr>
              <w:t>本项服务需提供态势感知探针服务工具，服务期限1年，工具具体要求如下：</w:t>
            </w:r>
          </w:p>
          <w:p w14:paraId="0FA43CF0">
            <w:pPr>
              <w:rPr>
                <w:rFonts w:hint="eastAsia"/>
                <w:color w:val="auto"/>
              </w:rPr>
            </w:pPr>
            <w:r>
              <w:rPr>
                <w:color w:val="auto"/>
              </w:rPr>
              <w:t>1</w:t>
            </w:r>
            <w:r>
              <w:rPr>
                <w:rFonts w:hint="eastAsia"/>
                <w:color w:val="auto"/>
              </w:rPr>
              <w:t>、工具吞吐量≥1</w:t>
            </w:r>
            <w:r>
              <w:rPr>
                <w:color w:val="auto"/>
              </w:rPr>
              <w:t>G</w:t>
            </w:r>
            <w:r>
              <w:rPr>
                <w:rFonts w:hint="eastAsia"/>
                <w:color w:val="auto"/>
              </w:rPr>
              <w:t>bps</w:t>
            </w:r>
            <w:r>
              <w:rPr>
                <w:color w:val="auto"/>
              </w:rPr>
              <w:t>,</w:t>
            </w:r>
            <w:r>
              <w:rPr>
                <w:rFonts w:hint="eastAsia"/>
                <w:color w:val="auto"/>
              </w:rPr>
              <w:t>标准1</w:t>
            </w:r>
            <w:r>
              <w:rPr>
                <w:color w:val="auto"/>
              </w:rPr>
              <w:t>U</w:t>
            </w:r>
            <w:r>
              <w:rPr>
                <w:rFonts w:hint="eastAsia"/>
                <w:color w:val="auto"/>
              </w:rPr>
              <w:t>，硬盘容量≥128</w:t>
            </w:r>
            <w:r>
              <w:rPr>
                <w:color w:val="auto"/>
              </w:rPr>
              <w:t>G</w:t>
            </w:r>
            <w:r>
              <w:rPr>
                <w:rFonts w:hint="eastAsia"/>
                <w:color w:val="auto"/>
              </w:rPr>
              <w:t xml:space="preserve">B </w:t>
            </w:r>
            <w:r>
              <w:rPr>
                <w:color w:val="auto"/>
              </w:rPr>
              <w:t>SSD</w:t>
            </w:r>
            <w:r>
              <w:rPr>
                <w:rFonts w:hint="eastAsia"/>
                <w:color w:val="auto"/>
              </w:rPr>
              <w:t>，标配≥6个千兆电口，2个千兆光口，配置单电源；</w:t>
            </w:r>
          </w:p>
          <w:p w14:paraId="5769BF34">
            <w:pPr>
              <w:rPr>
                <w:rFonts w:hint="eastAsia"/>
                <w:color w:val="auto"/>
              </w:rPr>
            </w:pPr>
            <w:r>
              <w:rPr>
                <w:rFonts w:hint="eastAsia"/>
                <w:color w:val="auto"/>
              </w:rPr>
              <w:t>2、为了保证服务工具的兼容性和稳定性，</w:t>
            </w:r>
            <w:r>
              <w:rPr>
                <w:rFonts w:hint="eastAsia"/>
                <w:color w:val="auto"/>
                <w:szCs w:val="24"/>
              </w:rPr>
              <w:t>态势感知探针服务工具</w:t>
            </w:r>
            <w:r>
              <w:rPr>
                <w:rFonts w:hint="eastAsia"/>
                <w:color w:val="auto"/>
              </w:rPr>
              <w:t>需</w:t>
            </w:r>
            <w:r>
              <w:rPr>
                <w:color w:val="auto"/>
              </w:rPr>
              <w:t>与</w:t>
            </w:r>
            <w:r>
              <w:rPr>
                <w:rFonts w:hint="eastAsia"/>
                <w:color w:val="auto"/>
              </w:rPr>
              <w:t>本项目中</w:t>
            </w:r>
            <w:r>
              <w:rPr>
                <w:color w:val="auto"/>
              </w:rPr>
              <w:t>“</w:t>
            </w:r>
            <w:r>
              <w:rPr>
                <w:rFonts w:hint="eastAsia"/>
                <w:color w:val="auto"/>
              </w:rPr>
              <w:t>态势</w:t>
            </w:r>
            <w:r>
              <w:rPr>
                <w:color w:val="auto"/>
              </w:rPr>
              <w:t>感知</w:t>
            </w:r>
            <w:r>
              <w:rPr>
                <w:rFonts w:hint="eastAsia"/>
                <w:color w:val="auto"/>
              </w:rPr>
              <w:t>分析</w:t>
            </w:r>
            <w:r>
              <w:rPr>
                <w:color w:val="auto"/>
              </w:rPr>
              <w:t>平台</w:t>
            </w:r>
            <w:r>
              <w:rPr>
                <w:rFonts w:hint="eastAsia"/>
                <w:color w:val="auto"/>
              </w:rPr>
              <w:t>服务工具</w:t>
            </w:r>
            <w:r>
              <w:rPr>
                <w:color w:val="auto"/>
              </w:rPr>
              <w:t>”为同一品牌；</w:t>
            </w:r>
          </w:p>
          <w:p w14:paraId="010D2FA2">
            <w:pPr>
              <w:rPr>
                <w:rFonts w:hint="eastAsia"/>
                <w:color w:val="auto"/>
              </w:rPr>
            </w:pPr>
            <w:r>
              <w:rPr>
                <w:rFonts w:hint="eastAsia"/>
                <w:color w:val="auto"/>
              </w:rPr>
              <w:t>3、该服务工具</w:t>
            </w:r>
            <w:r>
              <w:rPr>
                <w:color w:val="auto"/>
              </w:rPr>
              <w:t>支持命令注入检测、PHP代码检测、XSS攻击检测、Webshell上传检测、SQL注入检测、XXE攻击检测、JAVA代码检测、SQL非注入型检测、MYSQL解析增强、php反序列化检测等自定义配置启用，针对命令注入检测、SQL注入检测等类型支持自定义高检出、低误报模式</w:t>
            </w:r>
            <w:r>
              <w:rPr>
                <w:rFonts w:hint="eastAsia"/>
                <w:color w:val="auto"/>
              </w:rPr>
              <w:t>；</w:t>
            </w:r>
            <w:r>
              <w:rPr>
                <w:color w:val="auto"/>
              </w:rPr>
              <w:t xml:space="preserve"> </w:t>
            </w:r>
          </w:p>
          <w:p w14:paraId="4338A262">
            <w:pPr>
              <w:rPr>
                <w:rFonts w:hint="eastAsia"/>
                <w:color w:val="auto"/>
              </w:rPr>
            </w:pPr>
            <w:r>
              <w:rPr>
                <w:rFonts w:hint="eastAsia"/>
                <w:color w:val="auto"/>
              </w:rPr>
              <w:t>4、该服务工具</w:t>
            </w:r>
            <w:r>
              <w:rPr>
                <w:color w:val="auto"/>
              </w:rPr>
              <w:t>支持Database漏洞攻击、DNS漏洞攻击、FTP漏洞攻击、Mail漏洞攻击、Media漏洞攻击、Network Device、Shellcode漏洞攻击、System漏洞攻击、Telnet漏洞攻击、Tftp漏洞攻击、Web漏洞攻击、IPS云防护等服务漏洞攻击检测</w:t>
            </w:r>
            <w:r>
              <w:rPr>
                <w:rFonts w:hint="eastAsia"/>
                <w:color w:val="auto"/>
              </w:rPr>
              <w:t>；</w:t>
            </w:r>
          </w:p>
          <w:p w14:paraId="140A650E">
            <w:pPr>
              <w:rPr>
                <w:rFonts w:hint="eastAsia"/>
                <w:color w:val="auto"/>
                <w:szCs w:val="24"/>
              </w:rPr>
            </w:pPr>
            <w:r>
              <w:rPr>
                <w:rFonts w:hint="eastAsia"/>
                <w:color w:val="auto"/>
              </w:rPr>
              <w:t>5、该服务工具</w:t>
            </w:r>
            <w:r>
              <w:rPr>
                <w:color w:val="auto"/>
              </w:rPr>
              <w:t>支持5种场景的日志传输模式,包含标准模式、精简模式、高级模式、局域网模式、自定义模式，适应不同应用场景需求</w:t>
            </w:r>
            <w:r>
              <w:rPr>
                <w:rFonts w:hint="eastAsia"/>
                <w:color w:val="auto"/>
              </w:rPr>
              <w:t>；（需提供的相关功能认证证书复印件或服务工具操作界面截图并加盖投标人公章）</w:t>
            </w:r>
          </w:p>
        </w:tc>
      </w:tr>
      <w:tr w14:paraId="2617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1FDD18B7">
            <w:pPr>
              <w:jc w:val="center"/>
              <w:rPr>
                <w:rFonts w:hint="eastAsia"/>
                <w:color w:val="auto"/>
                <w:szCs w:val="24"/>
              </w:rPr>
            </w:pPr>
            <w:r>
              <w:rPr>
                <w:rFonts w:hint="eastAsia"/>
                <w:color w:val="auto"/>
                <w:szCs w:val="24"/>
              </w:rPr>
              <w:t>6</w:t>
            </w:r>
          </w:p>
        </w:tc>
        <w:tc>
          <w:tcPr>
            <w:tcW w:w="758" w:type="pct"/>
            <w:vAlign w:val="center"/>
          </w:tcPr>
          <w:p w14:paraId="13A8A95F">
            <w:pPr>
              <w:jc w:val="center"/>
              <w:rPr>
                <w:rFonts w:hint="eastAsia"/>
                <w:color w:val="auto"/>
                <w:szCs w:val="24"/>
              </w:rPr>
            </w:pPr>
            <w:r>
              <w:rPr>
                <w:rFonts w:hint="eastAsia"/>
                <w:color w:val="auto"/>
                <w:szCs w:val="24"/>
              </w:rPr>
              <w:t>态势感知分析服务</w:t>
            </w:r>
          </w:p>
        </w:tc>
        <w:tc>
          <w:tcPr>
            <w:tcW w:w="3598" w:type="pct"/>
            <w:vAlign w:val="center"/>
          </w:tcPr>
          <w:p w14:paraId="7D625004">
            <w:pPr>
              <w:rPr>
                <w:rFonts w:hint="eastAsia"/>
                <w:color w:val="auto"/>
                <w:szCs w:val="24"/>
              </w:rPr>
            </w:pPr>
            <w:r>
              <w:rPr>
                <w:rFonts w:hint="eastAsia"/>
                <w:color w:val="auto"/>
                <w:szCs w:val="24"/>
              </w:rPr>
              <w:t>本项服务需提供态势感知分析服务工具，服务期限1年，工具具体要求如下：</w:t>
            </w:r>
          </w:p>
          <w:p w14:paraId="7663FF03">
            <w:pPr>
              <w:rPr>
                <w:rFonts w:hint="eastAsia"/>
                <w:color w:val="auto"/>
                <w:szCs w:val="24"/>
              </w:rPr>
            </w:pPr>
            <w:r>
              <w:rPr>
                <w:rFonts w:hint="eastAsia"/>
                <w:color w:val="auto"/>
                <w:szCs w:val="24"/>
              </w:rPr>
              <w:t>1、</w:t>
            </w:r>
            <w:r>
              <w:rPr>
                <w:rFonts w:hint="eastAsia"/>
                <w:color w:val="auto"/>
              </w:rPr>
              <w:t>该服务工具</w:t>
            </w:r>
            <w:r>
              <w:rPr>
                <w:rFonts w:hint="eastAsia"/>
                <w:color w:val="auto"/>
                <w:szCs w:val="24"/>
              </w:rPr>
              <w:t>采用外观≥2U的机架式服务器，配置8*4TB 企业级硬盘、1块240G SSD系统盘，标配≥4个千兆电口，配置冗余电源；</w:t>
            </w:r>
          </w:p>
          <w:p w14:paraId="031ABE0F">
            <w:pPr>
              <w:rPr>
                <w:rFonts w:hint="eastAsia"/>
                <w:color w:val="auto"/>
                <w:szCs w:val="24"/>
              </w:rPr>
            </w:pPr>
            <w:r>
              <w:rPr>
                <w:rFonts w:hint="eastAsia"/>
                <w:color w:val="auto"/>
                <w:szCs w:val="24"/>
              </w:rPr>
              <w:t>2、</w:t>
            </w:r>
            <w:r>
              <w:rPr>
                <w:rFonts w:hint="eastAsia"/>
                <w:color w:val="auto"/>
              </w:rPr>
              <w:t>该服务工具</w:t>
            </w:r>
            <w:r>
              <w:rPr>
                <w:rFonts w:hint="eastAsia"/>
                <w:color w:val="auto"/>
                <w:szCs w:val="24"/>
              </w:rPr>
              <w:t>支持支持基于规则检测引擎、情报检测引擎、文件分析引擎、攻击行为分析引擎以及异常行为引擎查看攻击技术分布，支持针对具体攻击技术展示检测能力图谱以及受影响的风险资产（需提供的相关功能认证证书复印件或服务工具操作界面截图并加盖投标人公章）；</w:t>
            </w:r>
          </w:p>
          <w:p w14:paraId="41D573A4">
            <w:pPr>
              <w:rPr>
                <w:rFonts w:hint="eastAsia"/>
                <w:color w:val="auto"/>
                <w:szCs w:val="24"/>
              </w:rPr>
            </w:pPr>
            <w:r>
              <w:rPr>
                <w:rFonts w:hint="eastAsia"/>
                <w:color w:val="auto"/>
                <w:szCs w:val="24"/>
              </w:rPr>
              <w:t>3、弱密码检测规则支持高度自定义，包括规则名称、生效域名、规则配置、账号白名单、密码白名单、弱密码内容导入文件，其中规则配置至少支持密码长度、字符种类、字典序、密码与账号相同、web空密码等（需提供的相关功能认证证书复印件或服务工具操作界面截图并加盖投标人公章）；</w:t>
            </w:r>
          </w:p>
          <w:p w14:paraId="7583E6EB">
            <w:pPr>
              <w:rPr>
                <w:rFonts w:hint="eastAsia"/>
                <w:color w:val="auto"/>
                <w:szCs w:val="24"/>
              </w:rPr>
            </w:pPr>
            <w:r>
              <w:rPr>
                <w:rFonts w:hint="eastAsia"/>
                <w:color w:val="auto"/>
                <w:szCs w:val="24"/>
              </w:rPr>
              <w:t>4、</w:t>
            </w:r>
            <w:r>
              <w:rPr>
                <w:rFonts w:hint="eastAsia"/>
                <w:color w:val="auto"/>
              </w:rPr>
              <w:t>该服务工具</w:t>
            </w:r>
            <w:r>
              <w:rPr>
                <w:color w:val="auto"/>
                <w:szCs w:val="24"/>
              </w:rPr>
              <w:t>支持web登录结果自定义，可根据登录行为检测是否登录成功，支持基于响应状态码、响应内容格式、URL、关键字、服务器IP地址、所属资产组等信息判定成功或失败的通用规则设置，支持机器学习引擎持续学习用户登录行为，生成登录成功规则模型。</w:t>
            </w:r>
            <w:r>
              <w:rPr>
                <w:rFonts w:hint="eastAsia"/>
                <w:color w:val="auto"/>
                <w:szCs w:val="24"/>
              </w:rPr>
              <w:t>；</w:t>
            </w:r>
          </w:p>
          <w:p w14:paraId="5DDFECA7">
            <w:pPr>
              <w:rPr>
                <w:rFonts w:hint="eastAsia"/>
                <w:color w:val="auto"/>
                <w:szCs w:val="24"/>
              </w:rPr>
            </w:pPr>
            <w:r>
              <w:rPr>
                <w:rFonts w:hint="eastAsia"/>
                <w:color w:val="auto"/>
                <w:szCs w:val="24"/>
              </w:rPr>
              <w:t>5、</w:t>
            </w:r>
            <w:r>
              <w:rPr>
                <w:rFonts w:hint="eastAsia"/>
                <w:color w:val="auto"/>
              </w:rPr>
              <w:t>该服务工具</w:t>
            </w:r>
            <w:r>
              <w:rPr>
                <w:rFonts w:hint="eastAsia"/>
                <w:color w:val="auto"/>
                <w:szCs w:val="24"/>
              </w:rPr>
              <w:t>支持可视化的形式展示威胁的影响面，通过大数据分析和关联检索技术，能够直观的看到失陷主机的威胁影响面，支持通过首页搜索框输入IP/域名/URL/端口/通信对进行搜索，同时支持基于列表模式展示横向攻击、违规访问、风险访问、可疑行为、正常访问等详细信息，支持入口点溯源功能，分析出首次失陷、疑似入口点、首次遭受攻击等信息，帮助管理人员及时了解威胁的影响，并找到攻击入口点（需提供的相关功能认证证书复印件或服务工具操作界面截图并加盖投标人公章）；</w:t>
            </w:r>
          </w:p>
          <w:p w14:paraId="1EBB3C5A">
            <w:pPr>
              <w:rPr>
                <w:rFonts w:hint="eastAsia"/>
                <w:color w:val="auto"/>
                <w:szCs w:val="24"/>
              </w:rPr>
            </w:pPr>
            <w:r>
              <w:rPr>
                <w:rFonts w:hint="eastAsia"/>
                <w:color w:val="auto"/>
                <w:szCs w:val="24"/>
              </w:rPr>
              <w:t>6、</w:t>
            </w:r>
            <w:r>
              <w:rPr>
                <w:rFonts w:hint="eastAsia"/>
                <w:color w:val="auto"/>
              </w:rPr>
              <w:t>该服务工具</w:t>
            </w:r>
            <w:r>
              <w:rPr>
                <w:rFonts w:hint="eastAsia"/>
                <w:color w:val="auto"/>
                <w:szCs w:val="24"/>
              </w:rPr>
              <w:t xml:space="preserve">支持对服务器、客户端的各种应用发起的漏洞攻击进行检测； </w:t>
            </w:r>
          </w:p>
          <w:p w14:paraId="28FC2378">
            <w:pPr>
              <w:rPr>
                <w:rFonts w:hint="eastAsia"/>
                <w:color w:val="auto"/>
                <w:szCs w:val="24"/>
              </w:rPr>
            </w:pPr>
            <w:r>
              <w:rPr>
                <w:rFonts w:hint="eastAsia"/>
                <w:color w:val="auto"/>
                <w:szCs w:val="24"/>
              </w:rPr>
              <w:t>7、</w:t>
            </w:r>
            <w:r>
              <w:rPr>
                <w:rFonts w:hint="eastAsia"/>
                <w:color w:val="auto"/>
              </w:rPr>
              <w:t>该服务工具</w:t>
            </w:r>
            <w:r>
              <w:rPr>
                <w:rFonts w:hint="eastAsia"/>
                <w:color w:val="auto"/>
                <w:szCs w:val="24"/>
              </w:rPr>
              <w:t>支持威胁定性引擎以分析告警的上下文关联、时序关系、历史告警发生的频率规律性，结合威胁情报与安全专家经验对当前的安全告警进行目的性确认、从而确认安全告警的优先级顺序，支持基于人工渗透、程序自动化、业务相关风险、其它4个维度对告警进行分类，帮助安全人员快速处置高危告警（需提供的相关功能认证证书复印件或服务工具操作界面截图并加盖投标人公章）；</w:t>
            </w:r>
          </w:p>
          <w:p w14:paraId="59234E4F">
            <w:pPr>
              <w:rPr>
                <w:rFonts w:hint="eastAsia"/>
                <w:color w:val="auto"/>
                <w:szCs w:val="24"/>
              </w:rPr>
            </w:pPr>
            <w:r>
              <w:rPr>
                <w:rFonts w:hint="eastAsia"/>
                <w:color w:val="auto"/>
                <w:szCs w:val="24"/>
              </w:rPr>
              <w:t>8、</w:t>
            </w:r>
            <w:r>
              <w:rPr>
                <w:rFonts w:hint="eastAsia"/>
                <w:color w:val="auto"/>
              </w:rPr>
              <w:t>该服务工具</w:t>
            </w:r>
            <w:r>
              <w:rPr>
                <w:color w:val="auto"/>
                <w:szCs w:val="24"/>
              </w:rPr>
              <w:t>支持勒索专项检测页面，对勒索主题的安全告警进行展示和管理，支持以勒索病毒的感染途径/方式为维度进行分类，包括勒索常用端口、勒索常用漏洞、RDP爆破、感染勒索病毒、黑客勒索攻击、勒索C&amp;C通信等维度，支持展示受害资产以及受害资产攻击数Top5，</w:t>
            </w:r>
            <w:r>
              <w:rPr>
                <w:rFonts w:hint="eastAsia"/>
                <w:color w:val="auto"/>
                <w:szCs w:val="24"/>
              </w:rPr>
              <w:t>支持以列表的形式展示勒索事件，包括最近发生时间、威胁描述、威胁定性、勒索风险、威胁等级、受害者IP、攻击次数等信息（需提供的相关功能认证证书复印件或服务工具操作界面截图并加盖投标人公章）；</w:t>
            </w:r>
          </w:p>
          <w:p w14:paraId="21B21FDE">
            <w:pPr>
              <w:rPr>
                <w:rFonts w:hint="eastAsia"/>
                <w:color w:val="auto"/>
                <w:szCs w:val="24"/>
              </w:rPr>
            </w:pPr>
            <w:r>
              <w:rPr>
                <w:rFonts w:hint="eastAsia"/>
                <w:color w:val="auto"/>
                <w:szCs w:val="24"/>
              </w:rPr>
              <w:t>9、</w:t>
            </w:r>
            <w:r>
              <w:rPr>
                <w:rFonts w:hint="eastAsia"/>
                <w:color w:val="auto"/>
              </w:rPr>
              <w:t>该服务工具</w:t>
            </w:r>
            <w:r>
              <w:rPr>
                <w:rFonts w:hint="eastAsia"/>
                <w:color w:val="auto"/>
                <w:szCs w:val="24"/>
              </w:rPr>
              <w:t>支持挖矿专项检测页面，支持基于规则的本地挖矿检测和基于主动探测技术的云端挖矿检测，支持挖矿实时检测播报本地和云端的挖矿检测分析结果，支持基于攻击阶段展示挖矿主机数量，支持以列表的形式展示挖矿事件，包括最近发生时间、威胁描述、威胁定性、挖矿阶段、威胁等级、受害者IP、攻击次数、威胁情报等信息（需提供的相关功能认证证书复印件或服务工具操作界面截图并加盖投标人公章）；</w:t>
            </w:r>
          </w:p>
          <w:p w14:paraId="01F1DE1A">
            <w:pPr>
              <w:rPr>
                <w:rFonts w:hint="eastAsia"/>
                <w:color w:val="auto"/>
                <w:szCs w:val="24"/>
              </w:rPr>
            </w:pPr>
            <w:r>
              <w:rPr>
                <w:rFonts w:hint="eastAsia"/>
                <w:color w:val="auto"/>
                <w:szCs w:val="24"/>
              </w:rPr>
              <w:t>10、</w:t>
            </w:r>
            <w:r>
              <w:rPr>
                <w:rFonts w:hint="eastAsia"/>
                <w:color w:val="auto"/>
              </w:rPr>
              <w:t>该服务工具</w:t>
            </w:r>
            <w:r>
              <w:rPr>
                <w:rFonts w:hint="eastAsia"/>
                <w:color w:val="auto"/>
                <w:szCs w:val="24"/>
              </w:rPr>
              <w:t>支持与本次项目互联网边界安全服务工具、互联网边界上网行为监测与审计服务工具联动，包含联动封锁、访问控制、上网提醒、冻结账号、一键查杀等；（需提供的相关功能认证证书复印件或服务工具操作界面截图并加盖投标人公章）</w:t>
            </w:r>
          </w:p>
        </w:tc>
      </w:tr>
      <w:tr w14:paraId="12DF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4207C4CA">
            <w:pPr>
              <w:jc w:val="center"/>
              <w:rPr>
                <w:rFonts w:hint="eastAsia"/>
                <w:color w:val="auto"/>
                <w:szCs w:val="24"/>
              </w:rPr>
            </w:pPr>
            <w:r>
              <w:rPr>
                <w:rFonts w:hint="eastAsia"/>
                <w:color w:val="auto"/>
                <w:szCs w:val="24"/>
              </w:rPr>
              <w:t>7</w:t>
            </w:r>
          </w:p>
        </w:tc>
        <w:tc>
          <w:tcPr>
            <w:tcW w:w="758" w:type="pct"/>
            <w:vAlign w:val="center"/>
          </w:tcPr>
          <w:p w14:paraId="4CB7162C">
            <w:pPr>
              <w:jc w:val="center"/>
              <w:rPr>
                <w:rFonts w:hint="eastAsia"/>
                <w:color w:val="auto"/>
                <w:szCs w:val="24"/>
              </w:rPr>
            </w:pPr>
            <w:r>
              <w:rPr>
                <w:rFonts w:hint="eastAsia"/>
                <w:iCs/>
                <w:color w:val="auto"/>
                <w:szCs w:val="24"/>
              </w:rPr>
              <w:t>等保合规运维审计管理服务</w:t>
            </w:r>
          </w:p>
        </w:tc>
        <w:tc>
          <w:tcPr>
            <w:tcW w:w="3598" w:type="pct"/>
            <w:vAlign w:val="center"/>
          </w:tcPr>
          <w:p w14:paraId="5A1FB39C">
            <w:pPr>
              <w:rPr>
                <w:rFonts w:hint="eastAsia"/>
                <w:color w:val="auto"/>
                <w:szCs w:val="24"/>
              </w:rPr>
            </w:pPr>
            <w:r>
              <w:rPr>
                <w:rFonts w:hint="eastAsia"/>
                <w:color w:val="auto"/>
                <w:szCs w:val="24"/>
              </w:rPr>
              <w:t>本项服务需提供</w:t>
            </w:r>
            <w:r>
              <w:rPr>
                <w:rFonts w:hint="eastAsia"/>
                <w:iCs/>
                <w:color w:val="auto"/>
                <w:szCs w:val="24"/>
              </w:rPr>
              <w:t>等保合规运维审计管理</w:t>
            </w:r>
            <w:r>
              <w:rPr>
                <w:rFonts w:hint="eastAsia"/>
                <w:color w:val="auto"/>
                <w:szCs w:val="24"/>
              </w:rPr>
              <w:t>服务工具，服务期限1年，工具具体要求如下：</w:t>
            </w:r>
          </w:p>
          <w:p w14:paraId="10240B98">
            <w:pPr>
              <w:rPr>
                <w:rFonts w:hint="eastAsia"/>
                <w:color w:val="auto"/>
                <w:szCs w:val="24"/>
              </w:rPr>
            </w:pPr>
            <w:r>
              <w:rPr>
                <w:rFonts w:hint="eastAsia"/>
                <w:color w:val="auto"/>
                <w:szCs w:val="24"/>
              </w:rPr>
              <w:t>等保一体机硬件平台：</w:t>
            </w:r>
          </w:p>
          <w:p w14:paraId="0514025F">
            <w:pPr>
              <w:rPr>
                <w:rFonts w:hint="eastAsia"/>
                <w:color w:val="auto"/>
                <w:szCs w:val="24"/>
              </w:rPr>
            </w:pPr>
            <w:r>
              <w:rPr>
                <w:color w:val="auto"/>
                <w:szCs w:val="24"/>
              </w:rPr>
              <w:t>1、规格：2U的机架式服务器，可以放入42U标准机柜；</w:t>
            </w:r>
          </w:p>
          <w:p w14:paraId="2B9A390E">
            <w:pPr>
              <w:rPr>
                <w:rFonts w:hint="eastAsia"/>
                <w:color w:val="auto"/>
                <w:szCs w:val="24"/>
              </w:rPr>
            </w:pPr>
            <w:r>
              <w:rPr>
                <w:color w:val="auto"/>
                <w:szCs w:val="24"/>
              </w:rPr>
              <w:t>2、处理器：配置≥2颗1</w:t>
            </w:r>
            <w:r>
              <w:rPr>
                <w:rFonts w:hint="eastAsia"/>
                <w:color w:val="auto"/>
                <w:szCs w:val="24"/>
              </w:rPr>
              <w:t>6</w:t>
            </w:r>
            <w:r>
              <w:rPr>
                <w:color w:val="auto"/>
                <w:szCs w:val="24"/>
              </w:rPr>
              <w:t>核CPU</w:t>
            </w:r>
            <w:r>
              <w:rPr>
                <w:rFonts w:hint="eastAsia"/>
                <w:color w:val="auto"/>
                <w:szCs w:val="24"/>
              </w:rPr>
              <w:t>，主</w:t>
            </w:r>
            <w:r>
              <w:rPr>
                <w:color w:val="auto"/>
                <w:szCs w:val="24"/>
              </w:rPr>
              <w:t>频≥2.4GHZ；</w:t>
            </w:r>
          </w:p>
          <w:p w14:paraId="3F42169F">
            <w:pPr>
              <w:rPr>
                <w:rFonts w:hint="eastAsia"/>
                <w:color w:val="auto"/>
                <w:szCs w:val="24"/>
              </w:rPr>
            </w:pPr>
            <w:r>
              <w:rPr>
                <w:color w:val="auto"/>
                <w:szCs w:val="24"/>
              </w:rPr>
              <w:t>3、内存：配置≥</w:t>
            </w:r>
            <w:r>
              <w:rPr>
                <w:rFonts w:hint="eastAsia"/>
                <w:color w:val="auto"/>
                <w:szCs w:val="24"/>
              </w:rPr>
              <w:t>128</w:t>
            </w:r>
            <w:r>
              <w:rPr>
                <w:color w:val="auto"/>
                <w:szCs w:val="24"/>
              </w:rPr>
              <w:t>GB内存；</w:t>
            </w:r>
          </w:p>
          <w:p w14:paraId="6CEBF0EC">
            <w:pPr>
              <w:rPr>
                <w:rFonts w:hint="eastAsia"/>
                <w:color w:val="auto"/>
                <w:szCs w:val="24"/>
              </w:rPr>
            </w:pPr>
            <w:r>
              <w:rPr>
                <w:color w:val="auto"/>
                <w:szCs w:val="24"/>
              </w:rPr>
              <w:t>4、硬盘：配置≥2块4T SATA数据盘、≥</w:t>
            </w:r>
            <w:r>
              <w:rPr>
                <w:rFonts w:hint="eastAsia"/>
                <w:color w:val="auto"/>
                <w:szCs w:val="24"/>
              </w:rPr>
              <w:t>1</w:t>
            </w:r>
            <w:r>
              <w:rPr>
                <w:color w:val="auto"/>
                <w:szCs w:val="24"/>
              </w:rPr>
              <w:t>块240G SSD系统盘（不占用前置硬盘槽）、≥</w:t>
            </w:r>
            <w:r>
              <w:rPr>
                <w:rFonts w:hint="eastAsia"/>
                <w:color w:val="auto"/>
                <w:szCs w:val="24"/>
              </w:rPr>
              <w:t>1</w:t>
            </w:r>
            <w:r>
              <w:rPr>
                <w:color w:val="auto"/>
                <w:szCs w:val="24"/>
              </w:rPr>
              <w:t>块480G SSD缓存盘；</w:t>
            </w:r>
          </w:p>
          <w:p w14:paraId="03273BC7">
            <w:pPr>
              <w:rPr>
                <w:rFonts w:hint="eastAsia"/>
                <w:color w:val="auto"/>
                <w:szCs w:val="24"/>
              </w:rPr>
            </w:pPr>
            <w:r>
              <w:rPr>
                <w:color w:val="auto"/>
                <w:szCs w:val="24"/>
              </w:rPr>
              <w:t>5、为了提供更好的排障手段，</w:t>
            </w:r>
            <w:r>
              <w:rPr>
                <w:rFonts w:hint="eastAsia"/>
                <w:color w:val="auto"/>
              </w:rPr>
              <w:t>该服务工具</w:t>
            </w:r>
            <w:r>
              <w:rPr>
                <w:color w:val="auto"/>
                <w:szCs w:val="24"/>
              </w:rPr>
              <w:t xml:space="preserve">支持在平台内节点抓包分析分析功能，能够设置抓包的网口、过滤条件、文件大小等参数；（需提供的相关功能认证证书复印件或服务工具操作界面截图并加盖投标人公章） </w:t>
            </w:r>
          </w:p>
          <w:p w14:paraId="12E86C1B">
            <w:pPr>
              <w:rPr>
                <w:rFonts w:hint="eastAsia"/>
                <w:color w:val="auto"/>
                <w:szCs w:val="24"/>
              </w:rPr>
            </w:pPr>
            <w:r>
              <w:rPr>
                <w:color w:val="auto"/>
                <w:szCs w:val="24"/>
              </w:rPr>
              <w:t xml:space="preserve">6、业务、用户风险界面，支持针对业务、用户的风险事件进行分类，至少包含已经明确失陷的业务以及业务的威胁、脆弱性分析，同时能够针对已经实现、具备威胁与脆弱性不同阶段的安全事件进行等级描述、定位事件从何种安全组件上报，是否处理以及安全事件详情；（需提供的相关功能认证证书复印件或服务工具操作界面截图并加盖投标人公章） </w:t>
            </w:r>
          </w:p>
          <w:p w14:paraId="34FC3DE5">
            <w:pPr>
              <w:rPr>
                <w:rFonts w:hint="eastAsia"/>
                <w:b/>
                <w:bCs/>
                <w:color w:val="auto"/>
                <w:szCs w:val="24"/>
              </w:rPr>
            </w:pPr>
            <w:r>
              <w:rPr>
                <w:rFonts w:hint="eastAsia"/>
                <w:b/>
                <w:bCs/>
                <w:color w:val="auto"/>
                <w:szCs w:val="24"/>
              </w:rPr>
              <w:t>运维安全管理系统软件：</w:t>
            </w:r>
          </w:p>
          <w:p w14:paraId="5A787ED3">
            <w:pPr>
              <w:rPr>
                <w:rFonts w:hint="eastAsia"/>
                <w:color w:val="auto"/>
                <w:szCs w:val="24"/>
              </w:rPr>
            </w:pPr>
            <w:r>
              <w:rPr>
                <w:color w:val="auto"/>
                <w:szCs w:val="24"/>
              </w:rPr>
              <w:t>1、性能指标：运维授权数≥</w:t>
            </w:r>
            <w:r>
              <w:rPr>
                <w:rFonts w:hint="eastAsia"/>
                <w:color w:val="auto"/>
                <w:szCs w:val="24"/>
              </w:rPr>
              <w:t>300</w:t>
            </w:r>
            <w:r>
              <w:rPr>
                <w:color w:val="auto"/>
                <w:szCs w:val="24"/>
              </w:rPr>
              <w:t>；</w:t>
            </w:r>
          </w:p>
          <w:p w14:paraId="5D309ECA">
            <w:pPr>
              <w:rPr>
                <w:rFonts w:hint="eastAsia"/>
                <w:color w:val="auto"/>
                <w:szCs w:val="24"/>
              </w:rPr>
            </w:pPr>
            <w:r>
              <w:rPr>
                <w:color w:val="auto"/>
                <w:szCs w:val="24"/>
              </w:rPr>
              <w:t>2、</w:t>
            </w:r>
            <w:r>
              <w:rPr>
                <w:rFonts w:hint="eastAsia"/>
                <w:color w:val="auto"/>
              </w:rPr>
              <w:t>该服务工具</w:t>
            </w:r>
            <w:r>
              <w:rPr>
                <w:color w:val="auto"/>
                <w:szCs w:val="24"/>
              </w:rPr>
              <w:t>支持通过动作流配置提供广泛的应用接入支持，无论被接入的资源如何设计登录动作，通过动作流配置都可以实现单点登陆和审计接入；</w:t>
            </w:r>
          </w:p>
          <w:p w14:paraId="0D6D39ED">
            <w:pPr>
              <w:rPr>
                <w:rFonts w:hint="eastAsia"/>
                <w:color w:val="auto"/>
                <w:szCs w:val="24"/>
              </w:rPr>
            </w:pPr>
            <w:r>
              <w:rPr>
                <w:rFonts w:hint="eastAsia"/>
                <w:color w:val="auto"/>
                <w:szCs w:val="24"/>
              </w:rPr>
              <w:t>3</w:t>
            </w:r>
            <w:r>
              <w:rPr>
                <w:color w:val="auto"/>
                <w:szCs w:val="24"/>
              </w:rPr>
              <w:t>、</w:t>
            </w:r>
            <w:r>
              <w:rPr>
                <w:rFonts w:hint="eastAsia"/>
                <w:color w:val="auto"/>
              </w:rPr>
              <w:t>该服务工具</w:t>
            </w:r>
            <w:r>
              <w:rPr>
                <w:color w:val="auto"/>
                <w:szCs w:val="24"/>
              </w:rPr>
              <w:t xml:space="preserve">内置三员角色的同时支持角色灵活自定义，可根据用户实际的管理特性或特殊的安全管理组织架构，划分管理角色的管理范畴；（需提供的相关功能认证证书复印件或服务工具操作界面截图并加盖投标人公章） </w:t>
            </w:r>
          </w:p>
          <w:p w14:paraId="35CA6E8A">
            <w:pPr>
              <w:rPr>
                <w:rFonts w:hint="eastAsia"/>
                <w:color w:val="auto"/>
                <w:szCs w:val="24"/>
              </w:rPr>
            </w:pPr>
            <w:r>
              <w:rPr>
                <w:rFonts w:hint="eastAsia"/>
                <w:color w:val="auto"/>
                <w:szCs w:val="24"/>
              </w:rPr>
              <w:t>4</w:t>
            </w:r>
            <w:r>
              <w:rPr>
                <w:color w:val="auto"/>
                <w:szCs w:val="24"/>
              </w:rPr>
              <w:t>、</w:t>
            </w:r>
            <w:r>
              <w:rPr>
                <w:rFonts w:hint="eastAsia"/>
                <w:color w:val="auto"/>
              </w:rPr>
              <w:t>该服务工具</w:t>
            </w:r>
            <w:r>
              <w:rPr>
                <w:color w:val="auto"/>
                <w:szCs w:val="24"/>
              </w:rPr>
              <w:t xml:space="preserve">支持自定义紧急运维流程开启或关闭，紧急运维开启时，运维人员可通过紧急运维流程直接访问目标设备，系统记录为紧急运维工单，审批人员可在事后查看或审批；（需提供的相关功能认证证书复印件或服务工具操作界面截图并加盖投标人公章） </w:t>
            </w:r>
          </w:p>
          <w:p w14:paraId="2644F1F9">
            <w:pPr>
              <w:rPr>
                <w:rFonts w:hint="eastAsia"/>
                <w:color w:val="auto"/>
                <w:szCs w:val="24"/>
              </w:rPr>
            </w:pPr>
            <w:r>
              <w:rPr>
                <w:rFonts w:hint="eastAsia"/>
                <w:color w:val="auto"/>
                <w:szCs w:val="24"/>
              </w:rPr>
              <w:t>5</w:t>
            </w:r>
            <w:r>
              <w:rPr>
                <w:color w:val="auto"/>
                <w:szCs w:val="24"/>
              </w:rPr>
              <w:t>、</w:t>
            </w:r>
            <w:r>
              <w:rPr>
                <w:rFonts w:hint="eastAsia"/>
                <w:color w:val="auto"/>
              </w:rPr>
              <w:t>该服务工具</w:t>
            </w:r>
            <w:r>
              <w:rPr>
                <w:color w:val="auto"/>
                <w:szCs w:val="24"/>
              </w:rPr>
              <w:t>支持命令审批规则，用户执行高危命令时需要管理员审批后才允许执行；命令审批规则可以指定运维人员、访问设备、设备账号及命令审批人；</w:t>
            </w:r>
          </w:p>
          <w:p w14:paraId="18E36E44">
            <w:pPr>
              <w:rPr>
                <w:rFonts w:hint="eastAsia"/>
                <w:b/>
                <w:bCs/>
                <w:color w:val="auto"/>
                <w:szCs w:val="24"/>
              </w:rPr>
            </w:pPr>
            <w:r>
              <w:rPr>
                <w:rFonts w:hint="eastAsia"/>
                <w:b/>
                <w:bCs/>
                <w:color w:val="auto"/>
                <w:szCs w:val="24"/>
              </w:rPr>
              <w:t>数据库安全审计系统</w:t>
            </w:r>
          </w:p>
          <w:p w14:paraId="7E862E8A">
            <w:pPr>
              <w:rPr>
                <w:rFonts w:hint="eastAsia" w:cs="Times New Roman"/>
                <w:color w:val="auto"/>
                <w:szCs w:val="24"/>
              </w:rPr>
            </w:pPr>
            <w:r>
              <w:rPr>
                <w:rFonts w:hint="eastAsia" w:cs="Times New Roman"/>
                <w:color w:val="auto"/>
                <w:szCs w:val="24"/>
              </w:rPr>
              <w:t>1、性能指标：数据库流量比≥300Mb/s；</w:t>
            </w:r>
          </w:p>
          <w:p w14:paraId="1F4BEFD2">
            <w:pPr>
              <w:rPr>
                <w:rFonts w:hint="eastAsia" w:cs="Times New Roman"/>
                <w:color w:val="auto"/>
                <w:szCs w:val="24"/>
              </w:rPr>
            </w:pPr>
            <w:r>
              <w:rPr>
                <w:rFonts w:hint="eastAsia" w:cs="Times New Roman"/>
                <w:color w:val="auto"/>
                <w:szCs w:val="24"/>
              </w:rPr>
              <w:t>2、</w:t>
            </w:r>
            <w:r>
              <w:rPr>
                <w:rFonts w:hint="eastAsia"/>
                <w:color w:val="auto"/>
              </w:rPr>
              <w:t>该服务工具</w:t>
            </w:r>
            <w:r>
              <w:rPr>
                <w:rFonts w:hint="eastAsia" w:cs="Times New Roman"/>
                <w:color w:val="auto"/>
                <w:szCs w:val="24"/>
              </w:rPr>
              <w:t xml:space="preserve">支持精细化日志秒级查询，通过SQL串模式抽取保障磁盘IO的读写性能；分离式存储SQL语句保障数据审计速度快；（需提供的相关功能认证证书复印件或服务工具操作界面截图并加盖投标人公章） </w:t>
            </w:r>
          </w:p>
          <w:p w14:paraId="321D6730">
            <w:pPr>
              <w:rPr>
                <w:rFonts w:hint="eastAsia" w:cs="Times New Roman"/>
                <w:color w:val="auto"/>
                <w:szCs w:val="24"/>
              </w:rPr>
            </w:pPr>
            <w:r>
              <w:rPr>
                <w:rFonts w:hint="eastAsia" w:cs="Times New Roman"/>
                <w:color w:val="auto"/>
                <w:szCs w:val="24"/>
              </w:rPr>
              <w:t>3、</w:t>
            </w:r>
            <w:r>
              <w:rPr>
                <w:rFonts w:hint="eastAsia"/>
                <w:color w:val="auto"/>
              </w:rPr>
              <w:t>该服务工具</w:t>
            </w:r>
            <w:r>
              <w:rPr>
                <w:rFonts w:hint="eastAsia" w:cs="Times New Roman"/>
                <w:color w:val="auto"/>
                <w:szCs w:val="24"/>
              </w:rPr>
              <w:t xml:space="preserve">支持TB级日志秒级查询、支持指定源IP、时间日期、客户端程序、业务系统、数据库用户、操作类型等精细日志查询、支持操作类型精细化日志查询、支持风险级别排行统计查询、支持数据库条件的统计查询、支持统计趋势查询分析、支持风险级别查询分析、支持通过多SQL语句的统计查询、支持统计分析下钻、支持业务系统元素统计查询；（需提供的相关功能认证证书复印件或服务工具操作界面截图并加盖投标人公章） </w:t>
            </w:r>
          </w:p>
          <w:p w14:paraId="3C30F679">
            <w:pPr>
              <w:rPr>
                <w:rFonts w:hint="eastAsia" w:cs="Times New Roman"/>
                <w:color w:val="auto"/>
                <w:szCs w:val="24"/>
              </w:rPr>
            </w:pPr>
            <w:r>
              <w:rPr>
                <w:rFonts w:hint="eastAsia" w:cs="Times New Roman"/>
                <w:color w:val="auto"/>
                <w:szCs w:val="24"/>
              </w:rPr>
              <w:t>4、</w:t>
            </w:r>
            <w:r>
              <w:rPr>
                <w:rFonts w:hint="eastAsia"/>
                <w:color w:val="auto"/>
              </w:rPr>
              <w:t>该服务工具</w:t>
            </w:r>
            <w:r>
              <w:rPr>
                <w:rFonts w:hint="eastAsia" w:cs="Times New Roman"/>
                <w:color w:val="auto"/>
                <w:szCs w:val="24"/>
              </w:rPr>
              <w:t>内置大量SQL安全规则，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w:t>
            </w:r>
          </w:p>
          <w:p w14:paraId="3D40B6FD">
            <w:pPr>
              <w:rPr>
                <w:rFonts w:hint="eastAsia" w:cs="Times New Roman"/>
                <w:color w:val="auto"/>
                <w:szCs w:val="24"/>
              </w:rPr>
            </w:pPr>
            <w:r>
              <w:rPr>
                <w:rFonts w:hint="eastAsia" w:cs="Times New Roman"/>
                <w:color w:val="auto"/>
                <w:szCs w:val="24"/>
              </w:rPr>
              <w:t>5、</w:t>
            </w:r>
            <w:r>
              <w:rPr>
                <w:rFonts w:hint="eastAsia"/>
                <w:color w:val="auto"/>
              </w:rPr>
              <w:t>该服务工具</w:t>
            </w:r>
            <w:r>
              <w:rPr>
                <w:rFonts w:hint="eastAsia" w:cs="Times New Roman"/>
                <w:color w:val="auto"/>
                <w:szCs w:val="24"/>
              </w:rPr>
              <w:t xml:space="preserve">支持数据库威胁分析：可以通过自定义交互分析设置正常访问和异常访问视图、数据库泄密分析、图形化泄密轨迹分析、数据窃取、数据库风险、外发数据人员、受攻击业务系统、风险总次数这几个维度实时监控内网数据威胁态势并且提供交互式分析视图帮助企业快速溯源；（需提供的相关功能认证证书复印件或服务工具操作界面截图并加盖投标人公章） </w:t>
            </w:r>
          </w:p>
          <w:p w14:paraId="154F7915">
            <w:pPr>
              <w:rPr>
                <w:rFonts w:hint="eastAsia"/>
                <w:b/>
                <w:bCs/>
                <w:color w:val="auto"/>
                <w:szCs w:val="24"/>
              </w:rPr>
            </w:pPr>
            <w:r>
              <w:rPr>
                <w:rFonts w:hint="eastAsia"/>
                <w:b/>
                <w:bCs/>
                <w:color w:val="auto"/>
                <w:szCs w:val="24"/>
              </w:rPr>
              <w:t>日志审计系统：</w:t>
            </w:r>
          </w:p>
          <w:p w14:paraId="0886FCC1">
            <w:pPr>
              <w:rPr>
                <w:rFonts w:hint="eastAsia" w:cs="Times New Roman"/>
                <w:color w:val="auto"/>
                <w:szCs w:val="24"/>
              </w:rPr>
            </w:pPr>
            <w:r>
              <w:rPr>
                <w:rFonts w:hint="eastAsia" w:cs="Times New Roman"/>
                <w:color w:val="auto"/>
                <w:szCs w:val="24"/>
              </w:rPr>
              <w:t>1、主机审计许可证书数量≥300；</w:t>
            </w:r>
          </w:p>
          <w:p w14:paraId="49DF6562">
            <w:pPr>
              <w:rPr>
                <w:rFonts w:hint="eastAsia" w:cs="Times New Roman"/>
                <w:color w:val="auto"/>
                <w:szCs w:val="24"/>
              </w:rPr>
            </w:pPr>
            <w:r>
              <w:rPr>
                <w:rFonts w:hint="eastAsia" w:cs="Times New Roman"/>
                <w:color w:val="auto"/>
                <w:szCs w:val="24"/>
              </w:rPr>
              <w:t>2、</w:t>
            </w:r>
            <w:r>
              <w:rPr>
                <w:rFonts w:hint="eastAsia"/>
                <w:color w:val="auto"/>
              </w:rPr>
              <w:t>该服务工具</w:t>
            </w:r>
            <w:r>
              <w:rPr>
                <w:rFonts w:hint="eastAsia" w:cs="Times New Roman"/>
                <w:color w:val="auto"/>
                <w:szCs w:val="24"/>
              </w:rPr>
              <w:t>支持单条事件进行展开，显示事件详细信息和事件原始信息，支持事件详情中任意字段作为查询条件无限制进行二次检索分析；</w:t>
            </w:r>
          </w:p>
          <w:p w14:paraId="4201D443">
            <w:pPr>
              <w:rPr>
                <w:rFonts w:hint="eastAsia" w:cs="Times New Roman"/>
                <w:color w:val="auto"/>
                <w:szCs w:val="24"/>
              </w:rPr>
            </w:pPr>
            <w:r>
              <w:rPr>
                <w:rFonts w:hint="eastAsia" w:cs="Times New Roman"/>
                <w:color w:val="auto"/>
                <w:szCs w:val="24"/>
              </w:rPr>
              <w:t>3、</w:t>
            </w:r>
            <w:r>
              <w:rPr>
                <w:rFonts w:hint="eastAsia"/>
                <w:color w:val="auto"/>
              </w:rPr>
              <w:t>该服务工具</w:t>
            </w:r>
            <w:r>
              <w:rPr>
                <w:rFonts w:hint="eastAsia" w:cs="Times New Roman"/>
                <w:color w:val="auto"/>
                <w:szCs w:val="24"/>
              </w:rPr>
              <w:t>支持对每个日志源设置过滤条件规则，自动过滤无用日志，满足根据实际业务需求减少采集对象发送到核心服务器的安全事件数，减少对网络带宽和数据库存储空间的占用；</w:t>
            </w:r>
          </w:p>
          <w:p w14:paraId="5AB8D475">
            <w:pPr>
              <w:rPr>
                <w:rFonts w:hint="eastAsia" w:cs="Times New Roman"/>
                <w:color w:val="auto"/>
                <w:szCs w:val="24"/>
              </w:rPr>
            </w:pPr>
            <w:r>
              <w:rPr>
                <w:rFonts w:hint="eastAsia" w:cs="Times New Roman"/>
                <w:color w:val="auto"/>
                <w:szCs w:val="24"/>
              </w:rPr>
              <w:t>4、</w:t>
            </w:r>
            <w:r>
              <w:rPr>
                <w:rFonts w:hint="eastAsia"/>
                <w:color w:val="auto"/>
              </w:rPr>
              <w:t>该服务工具</w:t>
            </w:r>
            <w:r>
              <w:rPr>
                <w:rFonts w:hint="eastAsia" w:cs="Times New Roman"/>
                <w:color w:val="auto"/>
                <w:szCs w:val="24"/>
              </w:rPr>
              <w:t xml:space="preserve">支持对单个/多个日志源批量转发，支持定时转发，可通过syslog和kafka方式转发到第三方平台，并且支持转发原始日志和已解析日志的两种日志；（需提供的相关功能认证证书复印件或服务工具操作界面截图并加盖投标人公章） </w:t>
            </w:r>
          </w:p>
          <w:p w14:paraId="5357F8F3">
            <w:pPr>
              <w:rPr>
                <w:rFonts w:hint="eastAsia"/>
                <w:b/>
                <w:bCs/>
                <w:color w:val="auto"/>
                <w:szCs w:val="24"/>
              </w:rPr>
            </w:pPr>
            <w:r>
              <w:rPr>
                <w:rFonts w:hint="eastAsia" w:cs="Times New Roman"/>
                <w:color w:val="auto"/>
                <w:szCs w:val="24"/>
              </w:rPr>
              <w:t>5、</w:t>
            </w:r>
            <w:r>
              <w:rPr>
                <w:rFonts w:hint="eastAsia"/>
                <w:color w:val="auto"/>
              </w:rPr>
              <w:t>该服务工具</w:t>
            </w:r>
            <w:r>
              <w:rPr>
                <w:rFonts w:hint="eastAsia" w:cs="Times New Roman"/>
                <w:color w:val="auto"/>
                <w:szCs w:val="24"/>
              </w:rPr>
              <w:t xml:space="preserve">支持通配符、范围搜索、字段等多种输入方式、搜索框模糊搜索、指定语段进行语法搜索；可根据时间、严重等级等进行组合查询；可根据具体设备、来源/目的所属（可具体到外网、内网资产等）、IP地址、特征ID、URL进行具体条件搜索；支持可设置定时刷新频率，根据刷新时间显示实时接入日志事件；（需提供的相关功能认证证书复印件或服务工具操作界面截图并加盖投标人公章） </w:t>
            </w:r>
          </w:p>
        </w:tc>
      </w:tr>
      <w:tr w14:paraId="73AC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14:paraId="362B791D">
            <w:pPr>
              <w:jc w:val="center"/>
              <w:rPr>
                <w:rFonts w:hint="eastAsia"/>
                <w:color w:val="auto"/>
                <w:szCs w:val="24"/>
              </w:rPr>
            </w:pPr>
            <w:r>
              <w:rPr>
                <w:rFonts w:hint="eastAsia"/>
                <w:color w:val="auto"/>
                <w:szCs w:val="24"/>
              </w:rPr>
              <w:t>8</w:t>
            </w:r>
          </w:p>
        </w:tc>
        <w:tc>
          <w:tcPr>
            <w:tcW w:w="758" w:type="pct"/>
            <w:vAlign w:val="center"/>
          </w:tcPr>
          <w:p w14:paraId="5ABB3CDF">
            <w:pPr>
              <w:jc w:val="center"/>
              <w:rPr>
                <w:rFonts w:hint="eastAsia"/>
                <w:color w:val="auto"/>
                <w:szCs w:val="24"/>
              </w:rPr>
            </w:pPr>
            <w:r>
              <w:rPr>
                <w:rFonts w:hint="eastAsia"/>
                <w:color w:val="auto"/>
                <w:szCs w:val="24"/>
              </w:rPr>
              <w:t>终端检测与响应服务</w:t>
            </w:r>
          </w:p>
        </w:tc>
        <w:tc>
          <w:tcPr>
            <w:tcW w:w="3598" w:type="pct"/>
            <w:vAlign w:val="center"/>
          </w:tcPr>
          <w:p w14:paraId="0E27A85B">
            <w:pPr>
              <w:jc w:val="left"/>
              <w:rPr>
                <w:rFonts w:hint="eastAsia"/>
                <w:color w:val="auto"/>
                <w:szCs w:val="24"/>
              </w:rPr>
            </w:pPr>
            <w:r>
              <w:rPr>
                <w:rFonts w:hint="eastAsia"/>
                <w:color w:val="auto"/>
                <w:szCs w:val="24"/>
              </w:rPr>
              <w:t>本项服务需提供终端检测与响应作为服务期间的服务工具，服务期限1年，工具具体要求如下：</w:t>
            </w:r>
          </w:p>
          <w:p w14:paraId="1E882FED">
            <w:pPr>
              <w:jc w:val="left"/>
              <w:rPr>
                <w:rFonts w:hint="eastAsia"/>
                <w:color w:val="auto"/>
                <w:szCs w:val="24"/>
              </w:rPr>
            </w:pPr>
            <w:r>
              <w:rPr>
                <w:rFonts w:hint="eastAsia"/>
                <w:color w:val="auto"/>
                <w:szCs w:val="24"/>
              </w:rPr>
              <w:t>1、PC软件授权数量≥3500，服务器防病毒软件授权数量≥200；</w:t>
            </w:r>
          </w:p>
          <w:p w14:paraId="674481BC">
            <w:pPr>
              <w:jc w:val="left"/>
              <w:rPr>
                <w:rFonts w:hint="eastAsia"/>
                <w:color w:val="auto"/>
                <w:szCs w:val="24"/>
              </w:rPr>
            </w:pPr>
            <w:r>
              <w:rPr>
                <w:rFonts w:hint="eastAsia"/>
                <w:color w:val="auto"/>
                <w:szCs w:val="24"/>
              </w:rPr>
              <w:t>2、</w:t>
            </w:r>
            <w:r>
              <w:rPr>
                <w:rFonts w:hint="eastAsia"/>
                <w:color w:val="auto"/>
              </w:rPr>
              <w:t>该服务工具</w:t>
            </w:r>
            <w:r>
              <w:rPr>
                <w:rFonts w:hint="eastAsia"/>
                <w:color w:val="auto"/>
                <w:szCs w:val="24"/>
              </w:rPr>
              <w:t xml:space="preserve">提供勒索病毒整体防护体系入口，直观展示最近七天勒索病毒防护效果，包括已处置的勒索病毒数量、已阻止的勒索病毒行为次数、已阻止的未知进程操作次数、已阻止的暴力破解攻击次数；（需提供的相关功能认证证书复印件或服务工具操作界面截图并加盖投标人公章） </w:t>
            </w:r>
          </w:p>
          <w:p w14:paraId="190070C4">
            <w:pPr>
              <w:jc w:val="left"/>
              <w:rPr>
                <w:rFonts w:hint="eastAsia"/>
                <w:color w:val="auto"/>
                <w:szCs w:val="24"/>
              </w:rPr>
            </w:pPr>
            <w:r>
              <w:rPr>
                <w:rFonts w:hint="eastAsia"/>
                <w:color w:val="auto"/>
                <w:szCs w:val="24"/>
              </w:rPr>
              <w:t>3、</w:t>
            </w:r>
            <w:r>
              <w:rPr>
                <w:rFonts w:hint="eastAsia"/>
                <w:color w:val="auto"/>
              </w:rPr>
              <w:t>该服务工具</w:t>
            </w:r>
            <w:r>
              <w:rPr>
                <w:rFonts w:hint="eastAsia"/>
                <w:color w:val="auto"/>
                <w:szCs w:val="24"/>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p w14:paraId="45817538">
            <w:pPr>
              <w:jc w:val="left"/>
              <w:rPr>
                <w:rFonts w:hint="eastAsia"/>
                <w:color w:val="auto"/>
                <w:szCs w:val="24"/>
              </w:rPr>
            </w:pPr>
            <w:r>
              <w:rPr>
                <w:rFonts w:hint="eastAsia"/>
                <w:color w:val="auto"/>
                <w:szCs w:val="24"/>
              </w:rPr>
              <w:t>4、针对Windows系统，</w:t>
            </w:r>
            <w:r>
              <w:rPr>
                <w:rFonts w:hint="eastAsia"/>
                <w:color w:val="auto"/>
              </w:rPr>
              <w:t>该服务工具</w:t>
            </w:r>
            <w:r>
              <w:rPr>
                <w:rFonts w:hint="eastAsia"/>
                <w:color w:val="auto"/>
                <w:szCs w:val="24"/>
              </w:rPr>
              <w:t xml:space="preserve">支持开发环境智能识别和调整，动态识别开发环境，安全的开发编译软件所使用的文件产生的风险支持设置成仅告警、不处置、不弹窗，规避开发场景编译软件拉取文件和代码卡顿、延时过久的问题；（需提供的相关功能认证证书复印件或服务工具操作界面截图并加盖投标人公章） </w:t>
            </w:r>
          </w:p>
          <w:p w14:paraId="1DF2AF04">
            <w:pPr>
              <w:jc w:val="left"/>
              <w:rPr>
                <w:rFonts w:hint="eastAsia"/>
                <w:color w:val="auto"/>
                <w:szCs w:val="24"/>
              </w:rPr>
            </w:pPr>
            <w:r>
              <w:rPr>
                <w:rFonts w:hint="eastAsia"/>
                <w:color w:val="auto"/>
                <w:szCs w:val="24"/>
              </w:rPr>
              <w:t>5、</w:t>
            </w:r>
            <w:r>
              <w:rPr>
                <w:rFonts w:hint="eastAsia"/>
                <w:color w:val="auto"/>
              </w:rPr>
              <w:t>该服务工具</w:t>
            </w:r>
            <w:r>
              <w:rPr>
                <w:rFonts w:hint="eastAsia"/>
                <w:color w:val="auto"/>
                <w:szCs w:val="24"/>
              </w:rPr>
              <w:t>支持客户端的错峰升级，可根据实际情况控制客户端同时升级的最大数量，避免大量终端程序同时更新造成网络拥堵或I/O风暴；</w:t>
            </w:r>
          </w:p>
          <w:p w14:paraId="4421FFEC">
            <w:pPr>
              <w:jc w:val="left"/>
              <w:rPr>
                <w:rFonts w:hint="eastAsia"/>
                <w:color w:val="auto"/>
                <w:szCs w:val="24"/>
              </w:rPr>
            </w:pPr>
            <w:r>
              <w:rPr>
                <w:rFonts w:hint="eastAsia"/>
                <w:color w:val="auto"/>
                <w:szCs w:val="24"/>
              </w:rPr>
              <w:t xml:space="preserve">6、通过智能识别终端环境情况（低配硬件、老旧设备、虚拟化等）和当前终端资源占用，在闲时实时监控和病毒扫描场景，都可智能调整客户端的资源占用（CPU、IO等），为业务让出资源，不卡业务，对业务零摩擦；（需提供的相关功能认证证书复印件或服务工具操作界面截图并加盖投标人公章） </w:t>
            </w:r>
          </w:p>
          <w:p w14:paraId="639E6072">
            <w:pPr>
              <w:jc w:val="left"/>
              <w:rPr>
                <w:rFonts w:hint="eastAsia"/>
                <w:color w:val="auto"/>
                <w:szCs w:val="24"/>
              </w:rPr>
            </w:pPr>
            <w:r>
              <w:rPr>
                <w:rFonts w:hint="eastAsia"/>
                <w:color w:val="auto"/>
                <w:szCs w:val="24"/>
              </w:rPr>
              <w:t>7、</w:t>
            </w:r>
            <w:r>
              <w:rPr>
                <w:rFonts w:hint="eastAsia"/>
                <w:color w:val="auto"/>
              </w:rPr>
              <w:t>该服务工具</w:t>
            </w:r>
            <w:r>
              <w:rPr>
                <w:rFonts w:hint="eastAsia"/>
                <w:color w:val="auto"/>
                <w:szCs w:val="24"/>
              </w:rPr>
              <w:t>支持勒索可疑行为检测，通过行为AI能力对勒索信、命令行、修改文件等多种躲避式投放勒索病毒的高危高频场景进行精准告警和自动拦截；</w:t>
            </w:r>
          </w:p>
          <w:p w14:paraId="63750A21">
            <w:pPr>
              <w:jc w:val="left"/>
              <w:rPr>
                <w:rFonts w:hint="eastAsia"/>
                <w:color w:val="auto"/>
                <w:szCs w:val="24"/>
              </w:rPr>
            </w:pPr>
            <w:r>
              <w:rPr>
                <w:rFonts w:hint="eastAsia"/>
                <w:color w:val="auto"/>
                <w:szCs w:val="24"/>
              </w:rPr>
              <w:t>8、</w:t>
            </w:r>
            <w:r>
              <w:rPr>
                <w:rFonts w:hint="eastAsia"/>
                <w:color w:val="auto"/>
              </w:rPr>
              <w:t>该服务工具</w:t>
            </w:r>
            <w:r>
              <w:rPr>
                <w:rFonts w:hint="eastAsia"/>
                <w:color w:val="auto"/>
                <w:szCs w:val="24"/>
              </w:rPr>
              <w:t xml:space="preserve">支持用户直接对勒索病毒的家族名、病毒名、加密文件后缀名执行链接查询，可通过直接上传加密文件的方式确定勒索病毒类型，如果能解密可以提供必要的解密工具；（需提供的相关功能认证证书复印件或服务工具操作界面截图并加盖投标人公章） </w:t>
            </w:r>
          </w:p>
        </w:tc>
      </w:tr>
    </w:tbl>
    <w:p w14:paraId="3E17B243">
      <w:pPr>
        <w:pStyle w:val="4"/>
        <w:numPr>
          <w:ilvl w:val="0"/>
          <w:numId w:val="0"/>
        </w:numPr>
        <w:rPr>
          <w:rFonts w:hint="eastAsia"/>
        </w:rPr>
      </w:pPr>
      <w:r>
        <w:rPr>
          <w:rFonts w:hint="eastAsia"/>
        </w:rPr>
        <w:t>1.3.2 安全服务内容清单（服务期限：1年）</w:t>
      </w:r>
    </w:p>
    <w:tbl>
      <w:tblPr>
        <w:tblStyle w:val="14"/>
        <w:tblW w:w="4998" w:type="pct"/>
        <w:tblInd w:w="0" w:type="dxa"/>
        <w:tblLayout w:type="autofit"/>
        <w:tblCellMar>
          <w:top w:w="0" w:type="dxa"/>
          <w:left w:w="108" w:type="dxa"/>
          <w:bottom w:w="0" w:type="dxa"/>
          <w:right w:w="108" w:type="dxa"/>
        </w:tblCellMar>
      </w:tblPr>
      <w:tblGrid>
        <w:gridCol w:w="526"/>
        <w:gridCol w:w="867"/>
        <w:gridCol w:w="3718"/>
        <w:gridCol w:w="1704"/>
        <w:gridCol w:w="1704"/>
      </w:tblGrid>
      <w:tr w14:paraId="3CC15045">
        <w:tblPrEx>
          <w:tblCellMar>
            <w:top w:w="0" w:type="dxa"/>
            <w:left w:w="108" w:type="dxa"/>
            <w:bottom w:w="0" w:type="dxa"/>
            <w:right w:w="108" w:type="dxa"/>
          </w:tblCellMar>
        </w:tblPrEx>
        <w:trPr>
          <w:trHeight w:val="37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411C">
            <w:pPr>
              <w:jc w:val="center"/>
              <w:textAlignment w:val="center"/>
              <w:rPr>
                <w:rFonts w:hint="eastAsia" w:ascii="微软雅黑" w:hAnsi="微软雅黑" w:eastAsia="微软雅黑" w:cs="微软雅黑"/>
                <w:b/>
                <w:bCs/>
                <w:color w:val="000000"/>
                <w:sz w:val="22"/>
              </w:rPr>
            </w:pPr>
            <w:r>
              <w:rPr>
                <w:rFonts w:hint="eastAsia" w:ascii="微软雅黑" w:hAnsi="微软雅黑" w:eastAsia="微软雅黑" w:cs="微软雅黑"/>
                <w:b/>
                <w:bCs/>
                <w:color w:val="000000"/>
                <w:kern w:val="0"/>
                <w:sz w:val="22"/>
                <w:lang w:bidi="ar"/>
              </w:rPr>
              <w:t>序号</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8A61">
            <w:pPr>
              <w:jc w:val="center"/>
              <w:textAlignment w:val="center"/>
              <w:rPr>
                <w:rFonts w:hint="eastAsia" w:ascii="微软雅黑" w:hAnsi="微软雅黑" w:eastAsia="微软雅黑" w:cs="微软雅黑"/>
                <w:b/>
                <w:bCs/>
                <w:color w:val="000000"/>
                <w:sz w:val="22"/>
              </w:rPr>
            </w:pPr>
            <w:r>
              <w:rPr>
                <w:rFonts w:hint="eastAsia" w:ascii="微软雅黑" w:hAnsi="微软雅黑" w:eastAsia="微软雅黑" w:cs="微软雅黑"/>
                <w:b/>
                <w:bCs/>
                <w:color w:val="000000"/>
                <w:kern w:val="0"/>
                <w:sz w:val="22"/>
                <w:lang w:bidi="ar"/>
              </w:rPr>
              <w:t>服务项目</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CCBB">
            <w:pPr>
              <w:jc w:val="center"/>
              <w:textAlignment w:val="center"/>
              <w:rPr>
                <w:rFonts w:hint="eastAsia" w:ascii="微软雅黑" w:hAnsi="微软雅黑" w:eastAsia="微软雅黑" w:cs="微软雅黑"/>
                <w:b/>
                <w:bCs/>
                <w:color w:val="000000"/>
                <w:sz w:val="22"/>
              </w:rPr>
            </w:pPr>
            <w:r>
              <w:rPr>
                <w:rFonts w:hint="eastAsia" w:ascii="微软雅黑" w:hAnsi="微软雅黑" w:eastAsia="微软雅黑" w:cs="微软雅黑"/>
                <w:b/>
                <w:bCs/>
                <w:color w:val="000000"/>
                <w:kern w:val="0"/>
                <w:sz w:val="22"/>
                <w:lang w:bidi="ar"/>
              </w:rPr>
              <w:t>服务描述</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531E">
            <w:pPr>
              <w:jc w:val="center"/>
              <w:textAlignment w:val="center"/>
              <w:rPr>
                <w:rFonts w:hint="eastAsia" w:ascii="微软雅黑" w:hAnsi="微软雅黑" w:eastAsia="微软雅黑" w:cs="微软雅黑"/>
                <w:b/>
                <w:bCs/>
                <w:color w:val="000000"/>
                <w:sz w:val="22"/>
              </w:rPr>
            </w:pPr>
            <w:r>
              <w:rPr>
                <w:rFonts w:hint="eastAsia" w:ascii="微软雅黑" w:hAnsi="微软雅黑" w:eastAsia="微软雅黑" w:cs="微软雅黑"/>
                <w:b/>
                <w:bCs/>
                <w:color w:val="000000"/>
                <w:kern w:val="0"/>
                <w:sz w:val="22"/>
                <w:lang w:bidi="ar"/>
              </w:rPr>
              <w:t>交付物</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4211">
            <w:pPr>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单位</w:t>
            </w:r>
          </w:p>
        </w:tc>
      </w:tr>
      <w:tr w14:paraId="01FC7E8C">
        <w:tblPrEx>
          <w:tblCellMar>
            <w:top w:w="0" w:type="dxa"/>
            <w:left w:w="108" w:type="dxa"/>
            <w:bottom w:w="0" w:type="dxa"/>
            <w:right w:w="108" w:type="dxa"/>
          </w:tblCellMar>
        </w:tblPrEx>
        <w:trPr>
          <w:trHeight w:val="513"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E513">
            <w:pPr>
              <w:jc w:val="left"/>
              <w:rPr>
                <w:rFonts w:hint="eastAsia"/>
              </w:rPr>
            </w:pPr>
            <w:r>
              <w:rPr>
                <w:rFonts w:hint="eastAsia"/>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112C0">
            <w:pPr>
              <w:jc w:val="left"/>
              <w:rPr>
                <w:rFonts w:hint="eastAsia"/>
              </w:rPr>
            </w:pPr>
            <w:r>
              <w:rPr>
                <w:rFonts w:hint="eastAsia"/>
              </w:rPr>
              <w:t>漏洞扫描</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FD92">
            <w:pPr>
              <w:jc w:val="left"/>
              <w:rPr>
                <w:rFonts w:hint="eastAsia"/>
              </w:rPr>
            </w:pPr>
            <w:r>
              <w:rPr>
                <w:rFonts w:hint="eastAsia"/>
              </w:rPr>
              <w:t>漏洞扫描服务，服务方使用自主知识产权的自动化漏洞扫描工具，对服务范围内的各种软硬件设备进行系统层、网络层、数据库层、应用层的全面的扫描与分析，扫描设备检测规则库及知识库涵盖了CVE、CNCVE、CNVD、CNNVD等标准，全面快速扫描完成后，人工验证所发现的操作系统漏洞、数据库漏洞、弱口令、信息泄漏及配置不当等脆弱性问题。最终出具准确有效的扫描报告，并针对扫描结果提供修复建议，协助单位进行修复加固。</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D114">
            <w:pPr>
              <w:jc w:val="left"/>
              <w:rPr>
                <w:rFonts w:hint="eastAsia"/>
              </w:rPr>
            </w:pPr>
            <w:r>
              <w:rPr>
                <w:rFonts w:hint="eastAsia"/>
              </w:rPr>
              <w:t>《 漏洞扫描报告》</w:t>
            </w:r>
            <w:r>
              <w:rPr>
                <w:rFonts w:hint="eastAsia"/>
              </w:rPr>
              <w:br w:type="textWrapping"/>
            </w:r>
            <w:r>
              <w:rPr>
                <w:rFonts w:hint="eastAsia"/>
              </w:rPr>
              <w:t>《人员保密协议》</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95E9">
            <w:pPr>
              <w:jc w:val="left"/>
              <w:rPr>
                <w:rFonts w:hint="eastAsia"/>
              </w:rPr>
            </w:pPr>
            <w:r>
              <w:rPr>
                <w:rFonts w:hint="eastAsia"/>
              </w:rPr>
              <w:t>4次</w:t>
            </w:r>
          </w:p>
        </w:tc>
      </w:tr>
      <w:tr w14:paraId="65FCE010">
        <w:tblPrEx>
          <w:tblCellMar>
            <w:top w:w="0" w:type="dxa"/>
            <w:left w:w="108" w:type="dxa"/>
            <w:bottom w:w="0" w:type="dxa"/>
            <w:right w:w="108" w:type="dxa"/>
          </w:tblCellMar>
        </w:tblPrEx>
        <w:trPr>
          <w:trHeight w:val="1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E4B9">
            <w:pPr>
              <w:jc w:val="left"/>
              <w:rPr>
                <w:rFonts w:hint="eastAsia"/>
              </w:rPr>
            </w:pPr>
            <w:r>
              <w:rPr>
                <w:rFonts w:hint="eastAsia"/>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EFD4">
            <w:pPr>
              <w:jc w:val="left"/>
              <w:rPr>
                <w:rFonts w:hint="eastAsia"/>
              </w:rPr>
            </w:pPr>
            <w:r>
              <w:rPr>
                <w:rFonts w:hint="eastAsia"/>
              </w:rPr>
              <w:t>渗透测试</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20BF">
            <w:pPr>
              <w:jc w:val="left"/>
              <w:rPr>
                <w:rFonts w:hint="eastAsia"/>
              </w:rPr>
            </w:pPr>
            <w:r>
              <w:rPr>
                <w:rFonts w:hint="eastAsia"/>
              </w:rPr>
              <w:t>通过红队模拟进攻方式，在不损害单位利益的情况下，根据黑客攻击的思维，参考黑客攻击的手段，指定攻击的路线，尽可能全面发现导致黑客入侵的所有途径；对预审系统资产发现并深入挖掘漏洞，从而实现横向渗透，进而实现整个网络的夺权的思路，达成攻击目标。</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6ED4C">
            <w:pPr>
              <w:jc w:val="left"/>
              <w:rPr>
                <w:rFonts w:hint="eastAsia"/>
              </w:rPr>
            </w:pPr>
            <w:r>
              <w:rPr>
                <w:rFonts w:hint="eastAsia"/>
              </w:rPr>
              <w:t>《渗透测试报告》</w:t>
            </w:r>
            <w:r>
              <w:rPr>
                <w:rFonts w:hint="eastAsia"/>
              </w:rPr>
              <w:br w:type="textWrapping"/>
            </w:r>
            <w:r>
              <w:rPr>
                <w:rFonts w:hint="eastAsia"/>
              </w:rPr>
              <w:t>《渗透测试授权书》</w:t>
            </w:r>
            <w:r>
              <w:rPr>
                <w:rFonts w:hint="eastAsia"/>
              </w:rPr>
              <w:br w:type="textWrapping"/>
            </w:r>
            <w:r>
              <w:rPr>
                <w:rFonts w:hint="eastAsia"/>
              </w:rPr>
              <w:t>《渗透测试复测报告》</w:t>
            </w:r>
            <w:r>
              <w:rPr>
                <w:rFonts w:hint="eastAsia"/>
              </w:rPr>
              <w:br w:type="textWrapping"/>
            </w:r>
            <w:r>
              <w:rPr>
                <w:rFonts w:hint="eastAsia"/>
              </w:rPr>
              <w:t>《人员保密协议》</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A03C">
            <w:pPr>
              <w:jc w:val="left"/>
              <w:rPr>
                <w:rFonts w:hint="eastAsia"/>
              </w:rPr>
            </w:pPr>
            <w:r>
              <w:rPr>
                <w:rFonts w:hint="eastAsia"/>
              </w:rPr>
              <w:t>1次</w:t>
            </w:r>
          </w:p>
        </w:tc>
      </w:tr>
      <w:tr w14:paraId="639EB24A">
        <w:tblPrEx>
          <w:tblCellMar>
            <w:top w:w="0" w:type="dxa"/>
            <w:left w:w="108" w:type="dxa"/>
            <w:bottom w:w="0" w:type="dxa"/>
            <w:right w:w="108" w:type="dxa"/>
          </w:tblCellMar>
        </w:tblPrEx>
        <w:trPr>
          <w:trHeight w:val="16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94678">
            <w:pPr>
              <w:jc w:val="left"/>
              <w:rPr>
                <w:rFonts w:hint="eastAsia"/>
              </w:rPr>
            </w:pPr>
            <w:r>
              <w:rPr>
                <w:rFonts w:hint="eastAsia"/>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AB38">
            <w:pPr>
              <w:jc w:val="left"/>
              <w:rPr>
                <w:rFonts w:hint="eastAsia"/>
              </w:rPr>
            </w:pPr>
            <w:r>
              <w:rPr>
                <w:rFonts w:hint="eastAsia"/>
              </w:rPr>
              <w:t>应急演练</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AE10">
            <w:pPr>
              <w:jc w:val="left"/>
              <w:rPr>
                <w:rFonts w:hint="eastAsia"/>
              </w:rPr>
            </w:pPr>
            <w:r>
              <w:rPr>
                <w:rFonts w:hint="eastAsia"/>
              </w:rPr>
              <w:t>应急演练服务根据定制化的演练目的和场景，基于现有应急处置体系，组织开展应急演练工作，进一步提高客户网络安全应急处置能力。主要服务内容包括：制订应急演练方案、准备应急演练环境、实施应急演练、优化应急预案、完善应急处置体系等。</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F7C2">
            <w:pPr>
              <w:jc w:val="left"/>
              <w:rPr>
                <w:rFonts w:hint="eastAsia"/>
              </w:rPr>
            </w:pPr>
            <w:r>
              <w:rPr>
                <w:rFonts w:hint="eastAsia"/>
              </w:rPr>
              <w:t>《应急演练预案》</w:t>
            </w:r>
            <w:r>
              <w:rPr>
                <w:rFonts w:hint="eastAsia"/>
              </w:rPr>
              <w:br w:type="textWrapping"/>
            </w:r>
            <w:r>
              <w:rPr>
                <w:rFonts w:hint="eastAsia"/>
              </w:rPr>
              <w:t>《应急演练总结报告》</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029E">
            <w:pPr>
              <w:jc w:val="left"/>
              <w:rPr>
                <w:rFonts w:hint="eastAsia"/>
              </w:rPr>
            </w:pPr>
            <w:r>
              <w:rPr>
                <w:rFonts w:hint="eastAsia"/>
              </w:rPr>
              <w:t>1次</w:t>
            </w:r>
          </w:p>
        </w:tc>
      </w:tr>
      <w:tr w14:paraId="1C3CF6DF">
        <w:tblPrEx>
          <w:tblCellMar>
            <w:top w:w="0" w:type="dxa"/>
            <w:left w:w="108" w:type="dxa"/>
            <w:bottom w:w="0" w:type="dxa"/>
            <w:right w:w="108" w:type="dxa"/>
          </w:tblCellMar>
        </w:tblPrEx>
        <w:trPr>
          <w:trHeight w:val="20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5B9A">
            <w:pPr>
              <w:jc w:val="left"/>
              <w:rPr>
                <w:rFonts w:hint="eastAsia"/>
              </w:rPr>
            </w:pPr>
            <w:r>
              <w:rPr>
                <w:rFonts w:hint="eastAsia"/>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C3C7">
            <w:pPr>
              <w:jc w:val="left"/>
              <w:rPr>
                <w:rFonts w:hint="eastAsia"/>
              </w:rPr>
            </w:pPr>
            <w:r>
              <w:rPr>
                <w:rFonts w:hint="eastAsia"/>
              </w:rPr>
              <w:t>安全加固</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6856">
            <w:pPr>
              <w:jc w:val="left"/>
              <w:rPr>
                <w:rFonts w:hint="eastAsia"/>
              </w:rPr>
            </w:pPr>
            <w:r>
              <w:rPr>
                <w:rFonts w:hint="eastAsia"/>
              </w:rPr>
              <w:t>安全加固指导服务针对在安全评估、应急响应、攻防对抗过程中发现的安全风险、不合规项、漏洞扫描报告等提供具体落地的加固方案并指导客户进行加固整改。服务包括安全漏洞漏洞服务与基线安全加固指导服务，指导加固对象包括系统漏洞、中间件、数据库等相关软硬件资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2907">
            <w:pPr>
              <w:jc w:val="left"/>
              <w:rPr>
                <w:rFonts w:hint="eastAsia"/>
              </w:rPr>
            </w:pPr>
            <w:r>
              <w:rPr>
                <w:rFonts w:hint="eastAsia"/>
              </w:rPr>
              <w:t>《安全加固计划》</w:t>
            </w:r>
            <w:r>
              <w:rPr>
                <w:rFonts w:hint="eastAsia"/>
              </w:rPr>
              <w:br w:type="textWrapping"/>
            </w:r>
            <w:r>
              <w:rPr>
                <w:rFonts w:hint="eastAsia"/>
              </w:rPr>
              <w:t>《安全加固进度跟踪表》</w:t>
            </w:r>
            <w:r>
              <w:rPr>
                <w:rFonts w:hint="eastAsia"/>
              </w:rPr>
              <w:br w:type="textWrapping"/>
            </w:r>
            <w:r>
              <w:rPr>
                <w:rFonts w:hint="eastAsia"/>
              </w:rPr>
              <w:t>《系统加固报告》</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CB13">
            <w:pPr>
              <w:jc w:val="left"/>
              <w:rPr>
                <w:rFonts w:hint="eastAsia"/>
              </w:rPr>
            </w:pPr>
            <w:r>
              <w:rPr>
                <w:rFonts w:hint="eastAsia"/>
              </w:rPr>
              <w:t>1次</w:t>
            </w:r>
          </w:p>
        </w:tc>
      </w:tr>
      <w:tr w14:paraId="5980D18B">
        <w:tblPrEx>
          <w:tblCellMar>
            <w:top w:w="0" w:type="dxa"/>
            <w:left w:w="108" w:type="dxa"/>
            <w:bottom w:w="0" w:type="dxa"/>
            <w:right w:w="108" w:type="dxa"/>
          </w:tblCellMar>
        </w:tblPrEx>
        <w:trPr>
          <w:trHeight w:val="9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E07B">
            <w:pPr>
              <w:jc w:val="left"/>
              <w:rPr>
                <w:rFonts w:hint="eastAsia"/>
              </w:rPr>
            </w:pPr>
            <w:r>
              <w:rPr>
                <w:rFonts w:hint="eastAsia"/>
              </w:rPr>
              <w:t>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D9A1">
            <w:pPr>
              <w:jc w:val="left"/>
              <w:rPr>
                <w:rFonts w:hint="eastAsia"/>
              </w:rPr>
            </w:pPr>
            <w:r>
              <w:rPr>
                <w:rFonts w:hint="eastAsia"/>
              </w:rPr>
              <w:t>安全意识培训</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BF7A">
            <w:pPr>
              <w:jc w:val="left"/>
              <w:rPr>
                <w:rFonts w:hint="eastAsia"/>
              </w:rPr>
            </w:pPr>
            <w:r>
              <w:rPr>
                <w:rFonts w:hint="eastAsia"/>
              </w:rPr>
              <w:t>安全意识培训旨提升医院内部员工安全认知，让员工认识到信息安全意识不足对组织可能造成的危害，传导应正确恪守的行为方式；通过全员安全意识的理论培训和案例分析以及关键行为上的最佳实践指导，让信息安全“人防“保障有效支撑业务高效稳定运行。培训内容包括普通员工的上网安全、邮件安全、通信安全等常见的安全意识内容。</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EA94">
            <w:pPr>
              <w:jc w:val="left"/>
              <w:rPr>
                <w:rFonts w:hint="eastAsia"/>
              </w:rPr>
            </w:pPr>
            <w:r>
              <w:rPr>
                <w:rFonts w:hint="eastAsia"/>
              </w:rPr>
              <w:t>《培训人员签到表》</w:t>
            </w:r>
            <w:r>
              <w:rPr>
                <w:rFonts w:hint="eastAsia"/>
              </w:rPr>
              <w:br w:type="textWrapping"/>
            </w:r>
            <w:r>
              <w:rPr>
                <w:rFonts w:hint="eastAsia"/>
              </w:rPr>
              <w:t>《培训课件》</w:t>
            </w:r>
            <w:r>
              <w:rPr>
                <w:rFonts w:hint="eastAsia"/>
              </w:rPr>
              <w:br w:type="textWrapping"/>
            </w:r>
            <w:r>
              <w:rPr>
                <w:rFonts w:hint="eastAsia"/>
              </w:rPr>
              <w:t>《培训现场照片文件》</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9218">
            <w:pPr>
              <w:jc w:val="left"/>
              <w:rPr>
                <w:rFonts w:hint="eastAsia"/>
              </w:rPr>
            </w:pPr>
            <w:r>
              <w:rPr>
                <w:rFonts w:hint="eastAsia"/>
              </w:rPr>
              <w:t>2次</w:t>
            </w:r>
          </w:p>
        </w:tc>
      </w:tr>
      <w:tr w14:paraId="59870F7C">
        <w:tblPrEx>
          <w:tblCellMar>
            <w:top w:w="0" w:type="dxa"/>
            <w:left w:w="108" w:type="dxa"/>
            <w:bottom w:w="0" w:type="dxa"/>
            <w:right w:w="108" w:type="dxa"/>
          </w:tblCellMar>
        </w:tblPrEx>
        <w:trPr>
          <w:trHeight w:val="41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3CD1">
            <w:pPr>
              <w:jc w:val="left"/>
              <w:rPr>
                <w:rFonts w:hint="eastAsia"/>
              </w:rPr>
            </w:pPr>
            <w:r>
              <w:rPr>
                <w:rFonts w:hint="eastAsia"/>
              </w:rPr>
              <w:t>6</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E411">
            <w:pPr>
              <w:jc w:val="left"/>
              <w:rPr>
                <w:rFonts w:hint="eastAsia"/>
              </w:rPr>
            </w:pPr>
            <w:r>
              <w:rPr>
                <w:rFonts w:hint="eastAsia"/>
              </w:rPr>
              <w:t>应急响应</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961F">
            <w:pPr>
              <w:jc w:val="left"/>
              <w:rPr>
                <w:rFonts w:hint="eastAsia"/>
              </w:rPr>
            </w:pPr>
            <w:r>
              <w:rPr>
                <w:rFonts w:hint="eastAsia"/>
              </w:rPr>
              <w:t>应急响应服务根据应急预案对发生的安全事件快速作出响应，根据安全事件等级，第一时间采用现场或远程的方式对安全事件进行应急处置。安全事件包括：非授权访问、信息泄密、拒绝服务、非法登录、病毒感染，权限篡改等相关攻击行为。</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2CE35">
            <w:pPr>
              <w:jc w:val="left"/>
              <w:rPr>
                <w:rFonts w:hint="eastAsia"/>
              </w:rPr>
            </w:pPr>
            <w:r>
              <w:rPr>
                <w:rFonts w:hint="eastAsia"/>
              </w:rPr>
              <w:t>《检测结果记录》</w:t>
            </w:r>
            <w:r>
              <w:rPr>
                <w:rFonts w:hint="eastAsia"/>
              </w:rPr>
              <w:br w:type="textWrapping"/>
            </w:r>
            <w:r>
              <w:rPr>
                <w:rFonts w:hint="eastAsia"/>
              </w:rPr>
              <w:t>《抑制处理记录表》</w:t>
            </w:r>
            <w:r>
              <w:rPr>
                <w:rFonts w:hint="eastAsia"/>
              </w:rPr>
              <w:br w:type="textWrapping"/>
            </w:r>
            <w:r>
              <w:rPr>
                <w:rFonts w:hint="eastAsia"/>
              </w:rPr>
              <w:t>《根除处理记录表》</w:t>
            </w:r>
            <w:r>
              <w:rPr>
                <w:rFonts w:hint="eastAsia"/>
              </w:rPr>
              <w:br w:type="textWrapping"/>
            </w:r>
            <w:r>
              <w:rPr>
                <w:rFonts w:hint="eastAsia"/>
              </w:rPr>
              <w:t>《恢复处理记录表》</w:t>
            </w:r>
            <w:r>
              <w:rPr>
                <w:rFonts w:hint="eastAsia"/>
              </w:rPr>
              <w:br w:type="textWrapping"/>
            </w:r>
            <w:r>
              <w:rPr>
                <w:rFonts w:hint="eastAsia"/>
              </w:rPr>
              <w:t>《应急响应报告表》</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E7E12">
            <w:pPr>
              <w:jc w:val="left"/>
              <w:rPr>
                <w:rFonts w:hint="eastAsia"/>
              </w:rPr>
            </w:pPr>
            <w:r>
              <w:rPr>
                <w:rFonts w:hint="eastAsia"/>
              </w:rPr>
              <w:t>按需</w:t>
            </w:r>
          </w:p>
        </w:tc>
      </w:tr>
      <w:tr w14:paraId="1D460398">
        <w:tblPrEx>
          <w:tblCellMar>
            <w:top w:w="0" w:type="dxa"/>
            <w:left w:w="108" w:type="dxa"/>
            <w:bottom w:w="0" w:type="dxa"/>
            <w:right w:w="108" w:type="dxa"/>
          </w:tblCellMar>
        </w:tblPrEx>
        <w:trPr>
          <w:trHeight w:val="169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1102">
            <w:pPr>
              <w:jc w:val="left"/>
              <w:rPr>
                <w:rFonts w:hint="eastAsia"/>
              </w:rPr>
            </w:pPr>
            <w:r>
              <w:rPr>
                <w:rFonts w:hint="eastAsia"/>
              </w:rPr>
              <w:t>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CE00">
            <w:pPr>
              <w:jc w:val="left"/>
              <w:rPr>
                <w:rFonts w:hint="eastAsia"/>
              </w:rPr>
            </w:pPr>
            <w:r>
              <w:rPr>
                <w:rFonts w:hint="eastAsia"/>
              </w:rPr>
              <w:t>▲安全托管服务</w:t>
            </w:r>
          </w:p>
        </w:tc>
        <w:tc>
          <w:tcPr>
            <w:tcW w:w="2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365F">
            <w:pPr>
              <w:jc w:val="left"/>
              <w:rPr>
                <w:rFonts w:hint="eastAsia"/>
              </w:rPr>
            </w:pPr>
            <w:r>
              <w:rPr>
                <w:rFonts w:hint="eastAsia"/>
              </w:rPr>
              <w:t>1、服务资产（IP）数量≥40个；</w:t>
            </w:r>
          </w:p>
          <w:p w14:paraId="15C9D507">
            <w:pPr>
              <w:jc w:val="left"/>
              <w:rPr>
                <w:rFonts w:hint="eastAsia"/>
              </w:rPr>
            </w:pPr>
            <w:r>
              <w:rPr>
                <w:rFonts w:hint="eastAsia"/>
              </w:rPr>
              <w:t>2、暴露面梳理</w:t>
            </w:r>
            <w:r>
              <w:rPr>
                <w:rFonts w:hint="eastAsia"/>
                <w:lang w:eastAsia="zh-Hans"/>
              </w:rPr>
              <w:t>：对服务资产开展互联网暴露面探测，以梳理资产面向互联网的开放情况，快速发现违规暴露在互联网中的资产及存在的风险并进行处置，实现对暴露面资产可管可控，降低暴露面资产的风险</w:t>
            </w:r>
            <w:r>
              <w:rPr>
                <w:rFonts w:hint="eastAsia"/>
              </w:rPr>
              <w:t>；</w:t>
            </w:r>
          </w:p>
          <w:p w14:paraId="24626952">
            <w:pPr>
              <w:jc w:val="left"/>
              <w:rPr>
                <w:rFonts w:hint="eastAsia"/>
              </w:rPr>
            </w:pPr>
            <w:r>
              <w:rPr>
                <w:rFonts w:hint="eastAsia"/>
              </w:rPr>
              <w:t>3、</w:t>
            </w:r>
            <w:r>
              <w:rPr>
                <w:rFonts w:hint="eastAsia"/>
                <w:lang w:eastAsia="zh-Hans"/>
              </w:rPr>
              <w:t>针对服务范围内资产扫描到的高危可利用漏洞，做好每一个高危可利用漏洞的防护工作，包括但不限于提供漏洞修复方案和安全设备防护策略，以及帮助配置防护规则，保证不因此出现重大事件和损失</w:t>
            </w:r>
            <w:r>
              <w:rPr>
                <w:rFonts w:hint="eastAsia"/>
              </w:rPr>
              <w:t>，</w:t>
            </w:r>
            <w:r>
              <w:rPr>
                <w:rFonts w:hint="eastAsia"/>
                <w:lang w:eastAsia="zh-Hans"/>
              </w:rPr>
              <w:t>并且支持对扫描到的高危可利用漏洞能够自动匹配漏洞防护规则</w:t>
            </w:r>
            <w:r>
              <w:rPr>
                <w:rFonts w:hint="eastAsia"/>
              </w:rPr>
              <w:t>；</w:t>
            </w:r>
            <w:r>
              <w:rPr>
                <w:rFonts w:hint="eastAsia"/>
                <w:color w:val="000000"/>
                <w:szCs w:val="24"/>
              </w:rPr>
              <w:t>（需提供的相关功能认证证书复印件或服务工具操作界面截图并加盖投标人公章）</w:t>
            </w:r>
          </w:p>
          <w:p w14:paraId="17801173">
            <w:pPr>
              <w:jc w:val="left"/>
              <w:rPr>
                <w:rFonts w:hint="eastAsia"/>
                <w:lang w:eastAsia="zh-Hans"/>
              </w:rPr>
            </w:pPr>
            <w:r>
              <w:rPr>
                <w:rFonts w:hint="eastAsia"/>
              </w:rPr>
              <w:t>4、</w:t>
            </w:r>
            <w:r>
              <w:rPr>
                <w:rFonts w:hint="eastAsia"/>
                <w:lang w:eastAsia="zh-Hans"/>
              </w:rPr>
              <w:t>应当具备检测和分析平台，通过采集安全设备和工具的安全告警和安全日志，结合大数据分析、人工智能等技术手段，提供7*24小时持续不间断的安全威胁分析鉴定，同时在用户界面进行展示；分析研判包括但不限于对脆弱性、异常流量、攻击日志、病毒日志等数据进行采集和实时分析研判，支持将同一资产的多个告警进行聚合分析发现各类安全事件并生成工单，并在告警详情中展示告警的基本信息，涉及的业务信息、攻击趋势、威胁详情、攻击原理、处置建议等内容，并支持根据情况提供备注；</w:t>
            </w:r>
          </w:p>
          <w:p w14:paraId="683025E9">
            <w:pPr>
              <w:jc w:val="left"/>
              <w:rPr>
                <w:rFonts w:hint="eastAsia"/>
                <w:lang w:eastAsia="zh-Hans"/>
              </w:rPr>
            </w:pPr>
            <w:r>
              <w:rPr>
                <w:rFonts w:hint="eastAsia"/>
              </w:rPr>
              <w:t>5、</w:t>
            </w:r>
            <w:r>
              <w:rPr>
                <w:rFonts w:hint="eastAsia"/>
                <w:lang w:eastAsia="zh-Hans"/>
              </w:rPr>
              <w:t>提供定期的勒索病毒入侵风险专项排查，应按照勒索预防Checklist开展勒索风险评估，勒索预防Checklist应当包含勒索高危利用漏洞、端口、安全策略、勒索攻击行为几个纬度。</w:t>
            </w:r>
          </w:p>
          <w:p w14:paraId="08AAF457">
            <w:pPr>
              <w:jc w:val="left"/>
              <w:rPr>
                <w:rFonts w:hint="eastAsia"/>
              </w:rPr>
            </w:pPr>
            <w:r>
              <w:rPr>
                <w:rFonts w:hint="eastAsia"/>
              </w:rPr>
              <w:t>6、</w:t>
            </w:r>
            <w:r>
              <w:rPr>
                <w:rFonts w:hint="eastAsia"/>
                <w:lang w:eastAsia="zh-Hans"/>
              </w:rPr>
              <w:t>提供的服务成果展示门户（或用户Portal）应具备服务质量可视化展示，能通过可视化的数据，清晰的了解安全专家的服务水平，至少包括脆弱性闭环率、脆弱性平均响应时长、脆弱性平均闭环时长、威胁闭环率、威胁平均响应时长、威胁平均闭环时长、事件闭环率、事件平均闭环时长，以验证投标方所承诺的服务指标（或称为服务SLA）</w:t>
            </w:r>
            <w:r>
              <w:rPr>
                <w:rFonts w:hint="eastAsia"/>
              </w:rPr>
              <w:t>；</w:t>
            </w:r>
          </w:p>
          <w:p w14:paraId="5CE8BB7E">
            <w:pPr>
              <w:jc w:val="left"/>
              <w:rPr>
                <w:rFonts w:hint="eastAsia"/>
              </w:rPr>
            </w:pPr>
            <w:r>
              <w:rPr>
                <w:rFonts w:hint="eastAsia"/>
              </w:rPr>
              <w:t>7、</w:t>
            </w:r>
            <w:r>
              <w:rPr>
                <w:rFonts w:hint="eastAsia"/>
                <w:lang w:eastAsia="zh-Hans"/>
              </w:rPr>
              <w:t>提供的服务成果展示门户（或用户Portal），可以直观的管理服务过程中生产的服务报告和交付物，包括但不限于《准备阶段文件》、《特殊时期值守报告》、《运营周报》、《运营月报》、《运营季报》、《威胁情报》、《年度汇报》、《事件总结报告》</w:t>
            </w:r>
            <w:r>
              <w:rPr>
                <w:rFonts w:hint="eastAsia"/>
              </w:rPr>
              <w:t>；</w:t>
            </w:r>
          </w:p>
          <w:p w14:paraId="7E997818">
            <w:pPr>
              <w:jc w:val="left"/>
              <w:rPr>
                <w:rFonts w:hint="eastAsia"/>
                <w:lang w:eastAsia="zh-Hans"/>
              </w:rPr>
            </w:pPr>
            <w:r>
              <w:rPr>
                <w:rFonts w:hint="eastAsia"/>
              </w:rPr>
              <w:t>8、</w:t>
            </w:r>
            <w:r>
              <w:rPr>
                <w:rFonts w:hint="eastAsia"/>
                <w:lang w:eastAsia="zh-Hans"/>
              </w:rPr>
              <w:t>服务平台应当支持对</w:t>
            </w:r>
            <w:r>
              <w:rPr>
                <w:rFonts w:hint="eastAsia"/>
              </w:rPr>
              <w:t>接该项目服务工具</w:t>
            </w:r>
            <w:r>
              <w:rPr>
                <w:rFonts w:hint="eastAsia"/>
                <w:lang w:eastAsia="zh-Hans"/>
              </w:rPr>
              <w:t>，支持实时接收</w:t>
            </w:r>
            <w:r>
              <w:rPr>
                <w:rFonts w:hint="eastAsia"/>
              </w:rPr>
              <w:t>服务工具</w:t>
            </w:r>
            <w:r>
              <w:rPr>
                <w:rFonts w:hint="eastAsia"/>
                <w:lang w:eastAsia="zh-Hans"/>
              </w:rPr>
              <w:t>检测到的安全事件信息、安全日志数据提供7*24小时的服务；</w:t>
            </w:r>
          </w:p>
          <w:p w14:paraId="684BE6AE">
            <w:pPr>
              <w:jc w:val="left"/>
              <w:rPr>
                <w:rFonts w:hint="eastAsia"/>
              </w:rPr>
            </w:pPr>
            <w:r>
              <w:rPr>
                <w:rFonts w:hint="eastAsia"/>
              </w:rPr>
              <w:t>9、为</w:t>
            </w:r>
            <w:r>
              <w:rPr>
                <w:rFonts w:hint="eastAsia"/>
                <w:lang w:eastAsia="zh-Hans"/>
              </w:rPr>
              <w:t>了保障服务效率和质量，服务平台应当具备一套完善的流程编排引擎，能够灵活编排、定义服务流程，并且定义服务的SLA，将服务过程中的各个关键环节按照一定的顺序和规则进行组织和安排，以达到高效、优质的服务目标</w:t>
            </w:r>
            <w:r>
              <w:rPr>
                <w:rFonts w:hint="eastAsia"/>
              </w:rPr>
              <w:t>；</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89F3">
            <w:pPr>
              <w:jc w:val="left"/>
              <w:rPr>
                <w:rFonts w:hint="eastAsia"/>
              </w:rPr>
            </w:pPr>
            <w:r>
              <w:rPr>
                <w:rFonts w:hint="eastAsia"/>
              </w:rPr>
              <w:t>《项目启动会PPT》</w:t>
            </w:r>
            <w:r>
              <w:rPr>
                <w:rFonts w:hint="eastAsia"/>
              </w:rPr>
              <w:br w:type="textWrapping"/>
            </w:r>
            <w:r>
              <w:rPr>
                <w:rFonts w:hint="eastAsia"/>
              </w:rPr>
              <w:t>《首次安全风险分析报告》</w:t>
            </w:r>
            <w:r>
              <w:rPr>
                <w:rFonts w:hint="eastAsia"/>
              </w:rPr>
              <w:br w:type="textWrapping"/>
            </w:r>
            <w:r>
              <w:rPr>
                <w:rFonts w:hint="eastAsia"/>
              </w:rPr>
              <w:t>《漏洞举证报告》</w:t>
            </w:r>
            <w:r>
              <w:rPr>
                <w:rFonts w:hint="eastAsia"/>
              </w:rPr>
              <w:br w:type="textWrapping"/>
            </w:r>
            <w:r>
              <w:rPr>
                <w:rFonts w:hint="eastAsia"/>
              </w:rPr>
              <w:t>《漏洞清单》</w:t>
            </w:r>
            <w:r>
              <w:rPr>
                <w:rFonts w:hint="eastAsia"/>
              </w:rPr>
              <w:br w:type="textWrapping"/>
            </w:r>
            <w:r>
              <w:rPr>
                <w:rFonts w:hint="eastAsia"/>
              </w:rPr>
              <w:t>《应急响应报告》</w:t>
            </w:r>
            <w:r>
              <w:rPr>
                <w:rFonts w:hint="eastAsia"/>
              </w:rPr>
              <w:br w:type="textWrapping"/>
            </w:r>
            <w:r>
              <w:rPr>
                <w:rFonts w:hint="eastAsia"/>
              </w:rPr>
              <w:t>《威胁情报》</w:t>
            </w:r>
            <w:r>
              <w:rPr>
                <w:rFonts w:hint="eastAsia"/>
              </w:rPr>
              <w:br w:type="textWrapping"/>
            </w:r>
            <w:r>
              <w:rPr>
                <w:rFonts w:hint="eastAsia"/>
              </w:rPr>
              <w:t>《暴露面梳理清单》</w:t>
            </w:r>
            <w:r>
              <w:rPr>
                <w:rFonts w:hint="eastAsia"/>
              </w:rPr>
              <w:br w:type="textWrapping"/>
            </w:r>
            <w:r>
              <w:rPr>
                <w:rFonts w:hint="eastAsia"/>
              </w:rPr>
              <w:t>《威胁狩猎报告》</w:t>
            </w:r>
            <w:r>
              <w:rPr>
                <w:rFonts w:hint="eastAsia"/>
              </w:rPr>
              <w:br w:type="textWrapping"/>
            </w:r>
            <w:r>
              <w:rPr>
                <w:rFonts w:hint="eastAsia"/>
              </w:rPr>
              <w:t>《安全运营周报》</w:t>
            </w:r>
            <w:r>
              <w:rPr>
                <w:rFonts w:hint="eastAsia"/>
              </w:rPr>
              <w:br w:type="textWrapping"/>
            </w:r>
            <w:r>
              <w:rPr>
                <w:rFonts w:hint="eastAsia"/>
              </w:rPr>
              <w:t>《安全运营月报》</w:t>
            </w:r>
            <w:r>
              <w:rPr>
                <w:rFonts w:hint="eastAsia"/>
              </w:rPr>
              <w:br w:type="textWrapping"/>
            </w:r>
            <w:r>
              <w:rPr>
                <w:rFonts w:hint="eastAsia"/>
              </w:rPr>
              <w:t>《半年度总结汇报》</w:t>
            </w:r>
            <w:r>
              <w:rPr>
                <w:rFonts w:hint="eastAsia"/>
              </w:rPr>
              <w:br w:type="textWrapping"/>
            </w:r>
            <w:r>
              <w:rPr>
                <w:rFonts w:hint="eastAsia"/>
              </w:rPr>
              <w:t>《年度总结汇报》</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4F8E">
            <w:pPr>
              <w:jc w:val="left"/>
              <w:rPr>
                <w:rFonts w:hint="eastAsia"/>
              </w:rPr>
            </w:pPr>
            <w:r>
              <w:rPr>
                <w:rFonts w:hint="eastAsia"/>
              </w:rPr>
              <w:t>1年</w:t>
            </w:r>
          </w:p>
        </w:tc>
      </w:tr>
    </w:tbl>
    <w:p w14:paraId="5231CCFB">
      <w:pPr>
        <w:rPr>
          <w:rFonts w:hint="eastAsia"/>
        </w:rPr>
      </w:pPr>
    </w:p>
    <w:p w14:paraId="27A522AA">
      <w:pPr>
        <w:pStyle w:val="2"/>
        <w:rPr>
          <w:rFonts w:hint="eastAsia"/>
          <w:szCs w:val="24"/>
        </w:rPr>
      </w:pPr>
      <w:r>
        <w:rPr>
          <w:rFonts w:hint="eastAsia"/>
          <w:lang w:eastAsia="zh-Hans"/>
        </w:rPr>
        <w:t>工期及服务地点</w:t>
      </w:r>
    </w:p>
    <w:p w14:paraId="32232E07">
      <w:pPr>
        <w:ind w:firstLine="480" w:firstLineChars="200"/>
        <w:rPr>
          <w:rFonts w:hint="eastAsia" w:cs="Tahoma"/>
          <w:kern w:val="28"/>
          <w:szCs w:val="24"/>
        </w:rPr>
      </w:pPr>
      <w:r>
        <w:rPr>
          <w:rFonts w:hint="eastAsia" w:cs="Tahoma"/>
          <w:kern w:val="28"/>
          <w:szCs w:val="24"/>
        </w:rPr>
        <w:t>服务工期：自用户通知进场起一年</w:t>
      </w:r>
      <w:r>
        <w:rPr>
          <w:rFonts w:hint="eastAsia" w:cs="Tahoma"/>
          <w:kern w:val="28"/>
          <w:szCs w:val="24"/>
          <w:lang w:eastAsia="zh-Hans"/>
        </w:rPr>
        <w:t>内</w:t>
      </w:r>
      <w:r>
        <w:rPr>
          <w:rFonts w:hint="eastAsia" w:cs="Tahoma"/>
          <w:kern w:val="28"/>
          <w:szCs w:val="24"/>
        </w:rPr>
        <w:t>。</w:t>
      </w:r>
    </w:p>
    <w:p w14:paraId="459A0653">
      <w:pPr>
        <w:ind w:firstLine="480" w:firstLineChars="200"/>
        <w:rPr>
          <w:rFonts w:hint="eastAsia"/>
          <w:szCs w:val="24"/>
        </w:rPr>
      </w:pPr>
      <w:bookmarkStart w:id="6" w:name="_Toc375990816"/>
      <w:r>
        <w:rPr>
          <w:rFonts w:hint="eastAsia"/>
          <w:szCs w:val="24"/>
        </w:rPr>
        <w:t>项目地点</w:t>
      </w:r>
      <w:bookmarkEnd w:id="6"/>
      <w:r>
        <w:rPr>
          <w:rFonts w:hint="eastAsia"/>
          <w:szCs w:val="24"/>
        </w:rPr>
        <w:t>：</w:t>
      </w:r>
      <w:r>
        <w:rPr>
          <w:rFonts w:hint="eastAsia" w:cs="Tahoma"/>
          <w:kern w:val="28"/>
          <w:szCs w:val="24"/>
          <w:lang w:eastAsia="zh-Hans"/>
        </w:rPr>
        <w:t>海南省海口市。</w:t>
      </w:r>
    </w:p>
    <w:p w14:paraId="0ACB6EAC">
      <w:pPr>
        <w:pStyle w:val="2"/>
        <w:rPr>
          <w:rFonts w:hint="eastAsia"/>
          <w:lang w:eastAsia="zh-Hans"/>
        </w:rPr>
      </w:pPr>
      <w:r>
        <w:rPr>
          <w:rFonts w:hint="eastAsia"/>
          <w:lang w:eastAsia="zh-Hans"/>
        </w:rPr>
        <w:t>项目验收标准</w:t>
      </w:r>
    </w:p>
    <w:p w14:paraId="53B83E42">
      <w:pPr>
        <w:ind w:firstLine="480" w:firstLineChars="200"/>
        <w:rPr>
          <w:rFonts w:hint="eastAsia"/>
          <w:szCs w:val="24"/>
          <w:lang w:eastAsia="zh-Hans"/>
        </w:rPr>
      </w:pPr>
      <w:r>
        <w:rPr>
          <w:rFonts w:hint="eastAsia"/>
          <w:szCs w:val="24"/>
          <w:lang w:eastAsia="zh-Hans"/>
        </w:rPr>
        <w:t>针对本项目</w:t>
      </w:r>
      <w:r>
        <w:rPr>
          <w:rFonts w:hint="eastAsia"/>
          <w:szCs w:val="24"/>
        </w:rPr>
        <w:t>1.</w:t>
      </w:r>
      <w:r>
        <w:rPr>
          <w:szCs w:val="24"/>
        </w:rPr>
        <w:t>2</w:t>
      </w:r>
      <w:r>
        <w:rPr>
          <w:rFonts w:hint="eastAsia"/>
          <w:szCs w:val="24"/>
        </w:rPr>
        <w:t>章节的“服务内容”</w:t>
      </w:r>
      <w:r>
        <w:rPr>
          <w:rFonts w:hint="eastAsia"/>
          <w:szCs w:val="24"/>
          <w:lang w:eastAsia="zh-Hans"/>
        </w:rPr>
        <w:t>，至少出具以下交付成果：</w:t>
      </w:r>
    </w:p>
    <w:p w14:paraId="112BDEA7">
      <w:pPr>
        <w:numPr>
          <w:ilvl w:val="0"/>
          <w:numId w:val="9"/>
        </w:numPr>
        <w:ind w:firstLine="480" w:firstLineChars="200"/>
        <w:rPr>
          <w:rFonts w:hint="eastAsia"/>
          <w:szCs w:val="24"/>
          <w:lang w:eastAsia="zh-Hans"/>
        </w:rPr>
      </w:pPr>
      <w:r>
        <w:rPr>
          <w:rFonts w:hint="eastAsia"/>
          <w:szCs w:val="24"/>
          <w:lang w:eastAsia="zh-Hans"/>
        </w:rPr>
        <w:t>按</w:t>
      </w:r>
      <w:r>
        <w:rPr>
          <w:rFonts w:hint="eastAsia"/>
          <w:szCs w:val="24"/>
        </w:rPr>
        <w:t>1.</w:t>
      </w:r>
      <w:r>
        <w:rPr>
          <w:szCs w:val="24"/>
        </w:rPr>
        <w:t>3</w:t>
      </w:r>
      <w:r>
        <w:rPr>
          <w:rFonts w:hint="eastAsia"/>
          <w:szCs w:val="24"/>
        </w:rPr>
        <w:t>章节的“服务要求”，完成全部工作内容并出具相应的服务报告</w:t>
      </w:r>
      <w:r>
        <w:rPr>
          <w:rFonts w:hint="eastAsia"/>
          <w:szCs w:val="24"/>
          <w:lang w:eastAsia="zh-Hans"/>
        </w:rPr>
        <w:t>；</w:t>
      </w:r>
    </w:p>
    <w:p w14:paraId="3F2670B0">
      <w:pPr>
        <w:numPr>
          <w:ilvl w:val="0"/>
          <w:numId w:val="9"/>
        </w:numPr>
        <w:ind w:firstLine="480" w:firstLineChars="200"/>
        <w:rPr>
          <w:rFonts w:hint="eastAsia"/>
          <w:szCs w:val="24"/>
          <w:lang w:eastAsia="zh-Hans"/>
        </w:rPr>
      </w:pPr>
      <w:r>
        <w:rPr>
          <w:rFonts w:hint="eastAsia"/>
          <w:szCs w:val="24"/>
        </w:rPr>
        <w:t>1</w:t>
      </w:r>
      <w:r>
        <w:rPr>
          <w:szCs w:val="24"/>
        </w:rPr>
        <w:t>2</w:t>
      </w:r>
      <w:r>
        <w:rPr>
          <w:rFonts w:hint="eastAsia"/>
          <w:szCs w:val="24"/>
        </w:rPr>
        <w:t>份远程安全巡检报告及相应过程文档</w:t>
      </w:r>
      <w:r>
        <w:rPr>
          <w:rFonts w:hint="eastAsia"/>
          <w:szCs w:val="24"/>
          <w:lang w:eastAsia="zh-Hans"/>
        </w:rPr>
        <w:t>；</w:t>
      </w:r>
    </w:p>
    <w:p w14:paraId="3B9A92A0">
      <w:pPr>
        <w:numPr>
          <w:ilvl w:val="0"/>
          <w:numId w:val="9"/>
        </w:numPr>
        <w:ind w:firstLine="480" w:firstLineChars="200"/>
        <w:rPr>
          <w:rFonts w:hint="eastAsia"/>
          <w:szCs w:val="24"/>
          <w:lang w:eastAsia="zh-Hans"/>
        </w:rPr>
      </w:pPr>
      <w:r>
        <w:rPr>
          <w:rFonts w:hint="eastAsia"/>
          <w:szCs w:val="24"/>
        </w:rPr>
        <w:t>4份现场安全巡检报告及相应过程文档</w:t>
      </w:r>
      <w:r>
        <w:rPr>
          <w:rFonts w:hint="eastAsia"/>
          <w:szCs w:val="24"/>
          <w:lang w:eastAsia="zh-Hans"/>
        </w:rPr>
        <w:t>；</w:t>
      </w:r>
    </w:p>
    <w:p w14:paraId="13DC3DC2">
      <w:pPr>
        <w:numPr>
          <w:ilvl w:val="0"/>
          <w:numId w:val="9"/>
        </w:numPr>
        <w:ind w:firstLine="480" w:firstLineChars="200"/>
        <w:rPr>
          <w:rFonts w:hint="eastAsia"/>
          <w:szCs w:val="24"/>
        </w:rPr>
      </w:pPr>
      <w:r>
        <w:rPr>
          <w:rFonts w:hint="eastAsia"/>
          <w:szCs w:val="24"/>
        </w:rPr>
        <w:t>1份渗透测试报告及相应过程文档</w:t>
      </w:r>
      <w:r>
        <w:rPr>
          <w:rFonts w:hint="eastAsia"/>
          <w:szCs w:val="24"/>
          <w:lang w:eastAsia="zh-Hans"/>
        </w:rPr>
        <w:t>；</w:t>
      </w:r>
    </w:p>
    <w:p w14:paraId="3E0EFA30">
      <w:pPr>
        <w:numPr>
          <w:ilvl w:val="0"/>
          <w:numId w:val="9"/>
        </w:numPr>
        <w:ind w:firstLine="480" w:firstLineChars="200"/>
        <w:rPr>
          <w:rFonts w:hint="eastAsia"/>
          <w:szCs w:val="24"/>
        </w:rPr>
      </w:pPr>
      <w:r>
        <w:rPr>
          <w:szCs w:val="24"/>
        </w:rPr>
        <w:t>1</w:t>
      </w:r>
      <w:r>
        <w:rPr>
          <w:rFonts w:hint="eastAsia"/>
          <w:szCs w:val="24"/>
        </w:rPr>
        <w:t>份攻防演练报告及相应过程文档。</w:t>
      </w:r>
    </w:p>
    <w:p w14:paraId="39C9E59C">
      <w:pPr>
        <w:ind w:right="1920"/>
        <w:jc w:val="left"/>
        <w:rPr>
          <w:rFonts w:hint="eastAsia"/>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宋体-简">
    <w:altName w:val="宋体"/>
    <w:panose1 w:val="00000000000000000000"/>
    <w:charset w:val="86"/>
    <w:family w:val="auto"/>
    <w:pitch w:val="default"/>
    <w:sig w:usb0="00000000" w:usb1="00000000" w:usb2="00000000" w:usb3="00000000" w:csb0="00040000" w:csb1="00000000"/>
  </w:font>
  <w:font w:name="Songti SC">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283CB"/>
    <w:multiLevelType w:val="singleLevel"/>
    <w:tmpl w:val="958283CB"/>
    <w:lvl w:ilvl="0" w:tentative="0">
      <w:start w:val="1"/>
      <w:numFmt w:val="decimal"/>
      <w:suff w:val="nothing"/>
      <w:lvlText w:val="（%1）"/>
      <w:lvlJc w:val="left"/>
    </w:lvl>
  </w:abstractNum>
  <w:abstractNum w:abstractNumId="1">
    <w:nsid w:val="C958C514"/>
    <w:multiLevelType w:val="singleLevel"/>
    <w:tmpl w:val="C958C514"/>
    <w:lvl w:ilvl="0" w:tentative="0">
      <w:start w:val="1"/>
      <w:numFmt w:val="decimal"/>
      <w:suff w:val="nothing"/>
      <w:lvlText w:val="（%1）"/>
      <w:lvlJc w:val="left"/>
    </w:lvl>
  </w:abstractNum>
  <w:abstractNum w:abstractNumId="2">
    <w:nsid w:val="01EE354D"/>
    <w:multiLevelType w:val="multilevel"/>
    <w:tmpl w:val="01EE354D"/>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DAF10E"/>
    <w:multiLevelType w:val="singleLevel"/>
    <w:tmpl w:val="2EDAF10E"/>
    <w:lvl w:ilvl="0" w:tentative="0">
      <w:start w:val="1"/>
      <w:numFmt w:val="decimal"/>
      <w:suff w:val="nothing"/>
      <w:lvlText w:val="（%1）"/>
      <w:lvlJc w:val="left"/>
    </w:lvl>
  </w:abstractNum>
  <w:abstractNum w:abstractNumId="4">
    <w:nsid w:val="439D1304"/>
    <w:multiLevelType w:val="multilevel"/>
    <w:tmpl w:val="439D1304"/>
    <w:lvl w:ilvl="0" w:tentative="0">
      <w:start w:val="1"/>
      <w:numFmt w:val="chineseCountingThousand"/>
      <w:pStyle w:val="2"/>
      <w:suff w:val="space"/>
      <w:lvlText w:val="%1、"/>
      <w:lvlJc w:val="left"/>
      <w:pPr>
        <w:ind w:left="0" w:firstLine="0"/>
      </w:pPr>
      <w:rPr>
        <w:rFonts w:hint="eastAsia"/>
        <w:lang w:val="en-US"/>
      </w:rPr>
    </w:lvl>
    <w:lvl w:ilvl="1" w:tentative="0">
      <w:start w:val="1"/>
      <w:numFmt w:val="decimal"/>
      <w:pStyle w:val="3"/>
      <w:isLgl/>
      <w:suff w:val="space"/>
      <w:lvlText w:val="%1.%2."/>
      <w:lvlJc w:val="left"/>
      <w:pPr>
        <w:ind w:left="0" w:firstLine="0"/>
      </w:pPr>
      <w:rPr>
        <w:rFonts w:hint="eastAsia" w:ascii="宋体" w:hAnsi="宋体" w:eastAsia="宋体"/>
      </w:rPr>
    </w:lvl>
    <w:lvl w:ilvl="2" w:tentative="0">
      <w:start w:val="1"/>
      <w:numFmt w:val="decimal"/>
      <w:pStyle w:val="4"/>
      <w:isLgl/>
      <w:suff w:val="space"/>
      <w:lvlText w:val="%1.%2.%3."/>
      <w:lvlJc w:val="left"/>
      <w:pPr>
        <w:ind w:left="3118" w:firstLine="0"/>
      </w:pPr>
      <w:rPr>
        <w:rFonts w:hint="eastAsia" w:ascii="宋体" w:hAnsi="宋体" w:eastAsia="宋体"/>
        <w:sz w:val="28"/>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isLgl/>
      <w:suff w:val="space"/>
      <w:lvlText w:val="%1.%2.%3.%4.%5."/>
      <w:lvlJc w:val="left"/>
      <w:pPr>
        <w:ind w:left="0" w:firstLine="0"/>
      </w:pPr>
      <w:rPr>
        <w:rFonts w:hint="eastAsia"/>
      </w:rPr>
    </w:lvl>
    <w:lvl w:ilvl="5" w:tentative="0">
      <w:start w:val="1"/>
      <w:numFmt w:val="decimal"/>
      <w:pStyle w:val="7"/>
      <w:isLgl/>
      <w:suff w:val="space"/>
      <w:lvlText w:val="%1.%2.%3.%4.%5.%6."/>
      <w:lvlJc w:val="left"/>
      <w:pPr>
        <w:ind w:left="0" w:firstLine="0"/>
      </w:pPr>
      <w:rPr>
        <w:rFonts w:hint="eastAsia"/>
      </w:rPr>
    </w:lvl>
    <w:lvl w:ilvl="6" w:tentative="0">
      <w:start w:val="1"/>
      <w:numFmt w:val="decimal"/>
      <w:pStyle w:val="8"/>
      <w:isLgl/>
      <w:suff w:val="space"/>
      <w:lvlText w:val="%1.%2.%3.%4.%5.%6.%7."/>
      <w:lvlJc w:val="left"/>
      <w:pPr>
        <w:ind w:left="0" w:firstLine="0"/>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5">
    <w:nsid w:val="5E2947F9"/>
    <w:multiLevelType w:val="singleLevel"/>
    <w:tmpl w:val="5E2947F9"/>
    <w:lvl w:ilvl="0" w:tentative="0">
      <w:start w:val="1"/>
      <w:numFmt w:val="decimal"/>
      <w:suff w:val="nothing"/>
      <w:lvlText w:val="（%1）"/>
      <w:lvlJc w:val="left"/>
    </w:lvl>
  </w:abstractNum>
  <w:abstractNum w:abstractNumId="6">
    <w:nsid w:val="60A5EB63"/>
    <w:multiLevelType w:val="singleLevel"/>
    <w:tmpl w:val="60A5EB63"/>
    <w:lvl w:ilvl="0" w:tentative="0">
      <w:start w:val="1"/>
      <w:numFmt w:val="decimal"/>
      <w:suff w:val="nothing"/>
      <w:lvlText w:val="%1、"/>
      <w:lvlJc w:val="left"/>
    </w:lvl>
  </w:abstractNum>
  <w:abstractNum w:abstractNumId="7">
    <w:nsid w:val="679AA2BD"/>
    <w:multiLevelType w:val="singleLevel"/>
    <w:tmpl w:val="679AA2BD"/>
    <w:lvl w:ilvl="0" w:tentative="0">
      <w:start w:val="1"/>
      <w:numFmt w:val="decimal"/>
      <w:suff w:val="nothing"/>
      <w:lvlText w:val="（%1）"/>
      <w:lvlJc w:val="left"/>
    </w:lvl>
  </w:abstractNum>
  <w:abstractNum w:abstractNumId="8">
    <w:nsid w:val="6CA3735F"/>
    <w:multiLevelType w:val="multilevel"/>
    <w:tmpl w:val="6CA3735F"/>
    <w:lvl w:ilvl="0" w:tentative="0">
      <w:start w:val="1"/>
      <w:numFmt w:val="bullet"/>
      <w:pStyle w:val="36"/>
      <w:lvlText w:val=""/>
      <w:lvlJc w:val="left"/>
      <w:pPr>
        <w:ind w:left="1002" w:hanging="420"/>
      </w:pPr>
      <w:rPr>
        <w:rFonts w:hint="default" w:ascii="Wingdings" w:hAnsi="Wingdings"/>
      </w:rPr>
    </w:lvl>
    <w:lvl w:ilvl="1" w:tentative="0">
      <w:start w:val="1"/>
      <w:numFmt w:val="bullet"/>
      <w:lvlText w:val=""/>
      <w:lvlJc w:val="left"/>
      <w:pPr>
        <w:ind w:left="1422" w:hanging="420"/>
      </w:pPr>
      <w:rPr>
        <w:rFonts w:hint="default" w:ascii="Wingdings" w:hAnsi="Wingdings"/>
      </w:rPr>
    </w:lvl>
    <w:lvl w:ilvl="2" w:tentative="0">
      <w:start w:val="1"/>
      <w:numFmt w:val="bullet"/>
      <w:pStyle w:val="34"/>
      <w:lvlText w:val=""/>
      <w:lvlJc w:val="left"/>
      <w:pPr>
        <w:ind w:left="1842" w:hanging="420"/>
      </w:pPr>
      <w:rPr>
        <w:rFonts w:hint="default" w:ascii="Wingdings" w:hAnsi="Wingdings"/>
      </w:rPr>
    </w:lvl>
    <w:lvl w:ilvl="3" w:tentative="0">
      <w:start w:val="1"/>
      <w:numFmt w:val="bullet"/>
      <w:lvlText w:val=""/>
      <w:lvlJc w:val="left"/>
      <w:pPr>
        <w:ind w:left="2262" w:hanging="420"/>
      </w:pPr>
      <w:rPr>
        <w:rFonts w:hint="default" w:ascii="Wingdings" w:hAnsi="Wingdings"/>
      </w:rPr>
    </w:lvl>
    <w:lvl w:ilvl="4" w:tentative="0">
      <w:start w:val="1"/>
      <w:numFmt w:val="bullet"/>
      <w:lvlText w:val=""/>
      <w:lvlJc w:val="left"/>
      <w:pPr>
        <w:ind w:left="2682" w:hanging="420"/>
      </w:pPr>
      <w:rPr>
        <w:rFonts w:hint="default" w:ascii="Wingdings" w:hAnsi="Wingdings"/>
      </w:rPr>
    </w:lvl>
    <w:lvl w:ilvl="5" w:tentative="0">
      <w:start w:val="1"/>
      <w:numFmt w:val="bullet"/>
      <w:lvlText w:val=""/>
      <w:lvlJc w:val="left"/>
      <w:pPr>
        <w:ind w:left="3102" w:hanging="420"/>
      </w:pPr>
      <w:rPr>
        <w:rFonts w:hint="default" w:ascii="Wingdings" w:hAnsi="Wingdings"/>
      </w:rPr>
    </w:lvl>
    <w:lvl w:ilvl="6" w:tentative="0">
      <w:start w:val="1"/>
      <w:numFmt w:val="bullet"/>
      <w:lvlText w:val=""/>
      <w:lvlJc w:val="left"/>
      <w:pPr>
        <w:ind w:left="3522" w:hanging="420"/>
      </w:pPr>
      <w:rPr>
        <w:rFonts w:hint="default" w:ascii="Wingdings" w:hAnsi="Wingdings"/>
      </w:rPr>
    </w:lvl>
    <w:lvl w:ilvl="7" w:tentative="0">
      <w:start w:val="1"/>
      <w:numFmt w:val="bullet"/>
      <w:lvlText w:val=""/>
      <w:lvlJc w:val="left"/>
      <w:pPr>
        <w:ind w:left="3942" w:hanging="420"/>
      </w:pPr>
      <w:rPr>
        <w:rFonts w:hint="default" w:ascii="Wingdings" w:hAnsi="Wingdings"/>
      </w:rPr>
    </w:lvl>
    <w:lvl w:ilvl="8" w:tentative="0">
      <w:start w:val="1"/>
      <w:numFmt w:val="bullet"/>
      <w:lvlText w:val=""/>
      <w:lvlJc w:val="left"/>
      <w:pPr>
        <w:ind w:left="4362" w:hanging="420"/>
      </w:pPr>
      <w:rPr>
        <w:rFonts w:hint="default" w:ascii="Wingdings" w:hAnsi="Wingdings"/>
      </w:rPr>
    </w:lvl>
  </w:abstractNum>
  <w:num w:numId="1">
    <w:abstractNumId w:val="4"/>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xYTNiMzgwNmM4ZjVlZWFlZDRkZWRiOGRjODg3Y2QifQ=="/>
    <w:docVar w:name="KSO_WPS_MARK_KEY" w:val="255a108b-7212-4a5b-a921-8b0fa3260706"/>
  </w:docVars>
  <w:rsids>
    <w:rsidRoot w:val="0003602A"/>
    <w:rsid w:val="0003602A"/>
    <w:rsid w:val="000711DA"/>
    <w:rsid w:val="000A3ADF"/>
    <w:rsid w:val="000A41E3"/>
    <w:rsid w:val="000C277A"/>
    <w:rsid w:val="000E3321"/>
    <w:rsid w:val="000F6230"/>
    <w:rsid w:val="00134957"/>
    <w:rsid w:val="00135CE0"/>
    <w:rsid w:val="00150146"/>
    <w:rsid w:val="001602D2"/>
    <w:rsid w:val="00187A9C"/>
    <w:rsid w:val="0019146A"/>
    <w:rsid w:val="001E20EA"/>
    <w:rsid w:val="00210C50"/>
    <w:rsid w:val="0029253A"/>
    <w:rsid w:val="003000D4"/>
    <w:rsid w:val="003B1103"/>
    <w:rsid w:val="003E0A0E"/>
    <w:rsid w:val="0040242C"/>
    <w:rsid w:val="00442528"/>
    <w:rsid w:val="00446A39"/>
    <w:rsid w:val="004A2BA4"/>
    <w:rsid w:val="0050110F"/>
    <w:rsid w:val="00563777"/>
    <w:rsid w:val="005821DC"/>
    <w:rsid w:val="00595F70"/>
    <w:rsid w:val="005E54C2"/>
    <w:rsid w:val="006179F5"/>
    <w:rsid w:val="006413E5"/>
    <w:rsid w:val="006543D6"/>
    <w:rsid w:val="006654CA"/>
    <w:rsid w:val="0068247F"/>
    <w:rsid w:val="006D7319"/>
    <w:rsid w:val="00753106"/>
    <w:rsid w:val="00765B02"/>
    <w:rsid w:val="00771BB5"/>
    <w:rsid w:val="007E3137"/>
    <w:rsid w:val="00806A16"/>
    <w:rsid w:val="00856B4F"/>
    <w:rsid w:val="00A3395F"/>
    <w:rsid w:val="00A374B1"/>
    <w:rsid w:val="00A65BF7"/>
    <w:rsid w:val="00AF4A7D"/>
    <w:rsid w:val="00AF5223"/>
    <w:rsid w:val="00B35C8E"/>
    <w:rsid w:val="00B44CE1"/>
    <w:rsid w:val="00B558BA"/>
    <w:rsid w:val="00BD386C"/>
    <w:rsid w:val="00C00D00"/>
    <w:rsid w:val="00C06F17"/>
    <w:rsid w:val="00C331C4"/>
    <w:rsid w:val="00C56A3A"/>
    <w:rsid w:val="00C73F57"/>
    <w:rsid w:val="00C82FED"/>
    <w:rsid w:val="00CB0536"/>
    <w:rsid w:val="00CD3B72"/>
    <w:rsid w:val="00CE1B78"/>
    <w:rsid w:val="00CF1F32"/>
    <w:rsid w:val="00D4029B"/>
    <w:rsid w:val="00D50738"/>
    <w:rsid w:val="00D54EC3"/>
    <w:rsid w:val="00E304E6"/>
    <w:rsid w:val="00E91415"/>
    <w:rsid w:val="00E93589"/>
    <w:rsid w:val="00E93F91"/>
    <w:rsid w:val="00E94BE4"/>
    <w:rsid w:val="00EB5A64"/>
    <w:rsid w:val="00EE7D5D"/>
    <w:rsid w:val="00F03F10"/>
    <w:rsid w:val="00F15C77"/>
    <w:rsid w:val="00F270E5"/>
    <w:rsid w:val="00F66CA1"/>
    <w:rsid w:val="00F7759D"/>
    <w:rsid w:val="0C573E3B"/>
    <w:rsid w:val="119C0DCD"/>
    <w:rsid w:val="12ED5833"/>
    <w:rsid w:val="1BFE23BC"/>
    <w:rsid w:val="1E146CD0"/>
    <w:rsid w:val="24070BD3"/>
    <w:rsid w:val="26865698"/>
    <w:rsid w:val="3667DD79"/>
    <w:rsid w:val="455C528A"/>
    <w:rsid w:val="46F80C42"/>
    <w:rsid w:val="4C5466FD"/>
    <w:rsid w:val="513B1B51"/>
    <w:rsid w:val="57F6BD61"/>
    <w:rsid w:val="590D1FC6"/>
    <w:rsid w:val="598A3479"/>
    <w:rsid w:val="5DAE7923"/>
    <w:rsid w:val="6AA02188"/>
    <w:rsid w:val="6D6659A3"/>
    <w:rsid w:val="70AA4C21"/>
    <w:rsid w:val="771470F0"/>
    <w:rsid w:val="77B9E938"/>
    <w:rsid w:val="79AEFAA9"/>
    <w:rsid w:val="7EED0FD5"/>
    <w:rsid w:val="7F392E86"/>
    <w:rsid w:val="7FDBBAD6"/>
    <w:rsid w:val="8EEF1081"/>
    <w:rsid w:val="B6F961C0"/>
    <w:rsid w:val="BD6FD715"/>
    <w:rsid w:val="BF4F832B"/>
    <w:rsid w:val="DFFFA4D8"/>
    <w:rsid w:val="EFF7CD81"/>
    <w:rsid w:val="F9FB03CE"/>
    <w:rsid w:val="FB8FE7C2"/>
    <w:rsid w:val="FE7E6865"/>
    <w:rsid w:val="FF3F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18"/>
    <w:qFormat/>
    <w:uiPriority w:val="9"/>
    <w:pPr>
      <w:keepNext/>
      <w:keepLines/>
      <w:numPr>
        <w:ilvl w:val="0"/>
        <w:numId w:val="1"/>
      </w:numPr>
      <w:outlineLvl w:val="0"/>
    </w:pPr>
    <w:rPr>
      <w:b/>
      <w:bCs/>
      <w:kern w:val="44"/>
      <w:sz w:val="36"/>
      <w:szCs w:val="44"/>
    </w:rPr>
  </w:style>
  <w:style w:type="paragraph" w:styleId="3">
    <w:name w:val="heading 2"/>
    <w:basedOn w:val="1"/>
    <w:next w:val="1"/>
    <w:link w:val="19"/>
    <w:unhideWhenUsed/>
    <w:qFormat/>
    <w:uiPriority w:val="9"/>
    <w:pPr>
      <w:keepNext/>
      <w:keepLines/>
      <w:numPr>
        <w:ilvl w:val="1"/>
        <w:numId w:val="1"/>
      </w:numPr>
      <w:outlineLvl w:val="1"/>
    </w:pPr>
    <w:rPr>
      <w:rFonts w:cstheme="majorBidi"/>
      <w:b/>
      <w:bCs/>
      <w:sz w:val="32"/>
      <w:szCs w:val="32"/>
    </w:rPr>
  </w:style>
  <w:style w:type="paragraph" w:styleId="4">
    <w:name w:val="heading 3"/>
    <w:basedOn w:val="1"/>
    <w:next w:val="1"/>
    <w:link w:val="20"/>
    <w:unhideWhenUsed/>
    <w:qFormat/>
    <w:uiPriority w:val="9"/>
    <w:pPr>
      <w:keepNext/>
      <w:keepLines/>
      <w:numPr>
        <w:ilvl w:val="2"/>
        <w:numId w:val="1"/>
      </w:numPr>
      <w:outlineLvl w:val="2"/>
    </w:pPr>
    <w:rPr>
      <w:b/>
      <w:bCs/>
      <w:sz w:val="28"/>
      <w:szCs w:val="32"/>
    </w:rPr>
  </w:style>
  <w:style w:type="paragraph" w:styleId="5">
    <w:name w:val="heading 4"/>
    <w:basedOn w:val="1"/>
    <w:next w:val="1"/>
    <w:link w:val="21"/>
    <w:unhideWhenUsed/>
    <w:qFormat/>
    <w:uiPriority w:val="9"/>
    <w:pPr>
      <w:keepNext/>
      <w:keepLines/>
      <w:numPr>
        <w:ilvl w:val="3"/>
        <w:numId w:val="1"/>
      </w:numPr>
      <w:outlineLvl w:val="3"/>
    </w:pPr>
    <w:rPr>
      <w:rFonts w:cstheme="majorBidi"/>
      <w:b/>
      <w:bCs/>
      <w:sz w:val="28"/>
      <w:szCs w:val="28"/>
    </w:rPr>
  </w:style>
  <w:style w:type="paragraph" w:styleId="6">
    <w:name w:val="heading 5"/>
    <w:basedOn w:val="1"/>
    <w:next w:val="1"/>
    <w:link w:val="22"/>
    <w:unhideWhenUsed/>
    <w:qFormat/>
    <w:uiPriority w:val="9"/>
    <w:pPr>
      <w:keepNext/>
      <w:keepLines/>
      <w:numPr>
        <w:ilvl w:val="4"/>
        <w:numId w:val="1"/>
      </w:numPr>
      <w:outlineLvl w:val="4"/>
    </w:pPr>
    <w:rPr>
      <w:b/>
      <w:bCs/>
      <w:sz w:val="28"/>
      <w:szCs w:val="28"/>
    </w:rPr>
  </w:style>
  <w:style w:type="paragraph" w:styleId="7">
    <w:name w:val="heading 6"/>
    <w:basedOn w:val="1"/>
    <w:next w:val="1"/>
    <w:link w:val="23"/>
    <w:unhideWhenUsed/>
    <w:qFormat/>
    <w:uiPriority w:val="9"/>
    <w:pPr>
      <w:keepNext/>
      <w:keepLines/>
      <w:numPr>
        <w:ilvl w:val="5"/>
        <w:numId w:val="1"/>
      </w:numPr>
      <w:outlineLvl w:val="5"/>
    </w:pPr>
    <w:rPr>
      <w:rFonts w:cstheme="majorBidi"/>
      <w:b/>
      <w:bCs/>
      <w:sz w:val="28"/>
      <w:szCs w:val="24"/>
    </w:rPr>
  </w:style>
  <w:style w:type="paragraph" w:styleId="8">
    <w:name w:val="heading 7"/>
    <w:basedOn w:val="1"/>
    <w:next w:val="1"/>
    <w:link w:val="24"/>
    <w:unhideWhenUsed/>
    <w:qFormat/>
    <w:uiPriority w:val="9"/>
    <w:pPr>
      <w:keepNext/>
      <w:keepLines/>
      <w:numPr>
        <w:ilvl w:val="6"/>
        <w:numId w:val="1"/>
      </w:numPr>
      <w:outlineLvl w:val="6"/>
    </w:pPr>
    <w:rPr>
      <w:b/>
      <w:bCs/>
      <w:sz w:val="28"/>
      <w:szCs w:val="24"/>
    </w:rPr>
  </w:style>
  <w:style w:type="paragraph" w:styleId="9">
    <w:name w:val="heading 8"/>
    <w:basedOn w:val="1"/>
    <w:next w:val="1"/>
    <w:link w:val="25"/>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6"/>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semiHidden/>
    <w:unhideWhenUsed/>
    <w:qFormat/>
    <w:uiPriority w:val="99"/>
    <w:pPr>
      <w:jc w:val="left"/>
    </w:pPr>
  </w:style>
  <w:style w:type="paragraph" w:styleId="12">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标题 1 字符"/>
    <w:basedOn w:val="16"/>
    <w:link w:val="2"/>
    <w:qFormat/>
    <w:uiPriority w:val="9"/>
    <w:rPr>
      <w:rFonts w:ascii="宋体" w:hAnsi="宋体" w:eastAsia="宋体"/>
      <w:b/>
      <w:bCs/>
      <w:kern w:val="44"/>
      <w:sz w:val="36"/>
      <w:szCs w:val="44"/>
    </w:rPr>
  </w:style>
  <w:style w:type="character" w:customStyle="1" w:styleId="19">
    <w:name w:val="标题 2 字符"/>
    <w:basedOn w:val="16"/>
    <w:link w:val="3"/>
    <w:qFormat/>
    <w:uiPriority w:val="9"/>
    <w:rPr>
      <w:rFonts w:ascii="宋体" w:hAnsi="宋体" w:eastAsia="宋体" w:cstheme="majorBidi"/>
      <w:b/>
      <w:bCs/>
      <w:sz w:val="32"/>
      <w:szCs w:val="32"/>
    </w:rPr>
  </w:style>
  <w:style w:type="character" w:customStyle="1" w:styleId="20">
    <w:name w:val="标题 3 字符"/>
    <w:basedOn w:val="16"/>
    <w:link w:val="4"/>
    <w:qFormat/>
    <w:uiPriority w:val="9"/>
    <w:rPr>
      <w:rFonts w:ascii="宋体" w:hAnsi="宋体" w:eastAsia="宋体"/>
      <w:b/>
      <w:bCs/>
      <w:sz w:val="28"/>
      <w:szCs w:val="32"/>
    </w:rPr>
  </w:style>
  <w:style w:type="character" w:customStyle="1" w:styleId="21">
    <w:name w:val="标题 4 字符"/>
    <w:basedOn w:val="16"/>
    <w:link w:val="5"/>
    <w:qFormat/>
    <w:uiPriority w:val="9"/>
    <w:rPr>
      <w:rFonts w:ascii="宋体" w:hAnsi="宋体" w:eastAsia="宋体" w:cstheme="majorBidi"/>
      <w:b/>
      <w:bCs/>
      <w:sz w:val="28"/>
      <w:szCs w:val="28"/>
    </w:rPr>
  </w:style>
  <w:style w:type="character" w:customStyle="1" w:styleId="22">
    <w:name w:val="标题 5 字符"/>
    <w:basedOn w:val="16"/>
    <w:link w:val="6"/>
    <w:qFormat/>
    <w:uiPriority w:val="9"/>
    <w:rPr>
      <w:rFonts w:ascii="宋体" w:hAnsi="宋体" w:eastAsia="宋体"/>
      <w:b/>
      <w:bCs/>
      <w:sz w:val="28"/>
      <w:szCs w:val="28"/>
    </w:rPr>
  </w:style>
  <w:style w:type="character" w:customStyle="1" w:styleId="23">
    <w:name w:val="标题 6 字符"/>
    <w:basedOn w:val="16"/>
    <w:link w:val="7"/>
    <w:qFormat/>
    <w:uiPriority w:val="9"/>
    <w:rPr>
      <w:rFonts w:ascii="宋体" w:hAnsi="宋体" w:eastAsia="宋体" w:cstheme="majorBidi"/>
      <w:b/>
      <w:bCs/>
      <w:sz w:val="28"/>
      <w:szCs w:val="24"/>
    </w:rPr>
  </w:style>
  <w:style w:type="character" w:customStyle="1" w:styleId="24">
    <w:name w:val="标题 7 字符"/>
    <w:basedOn w:val="16"/>
    <w:link w:val="8"/>
    <w:qFormat/>
    <w:uiPriority w:val="9"/>
    <w:rPr>
      <w:rFonts w:ascii="宋体" w:hAnsi="宋体" w:eastAsia="宋体"/>
      <w:b/>
      <w:bCs/>
      <w:sz w:val="28"/>
      <w:szCs w:val="24"/>
    </w:rPr>
  </w:style>
  <w:style w:type="character" w:customStyle="1" w:styleId="25">
    <w:name w:val="标题 8 字符"/>
    <w:basedOn w:val="16"/>
    <w:link w:val="9"/>
    <w:semiHidden/>
    <w:qFormat/>
    <w:uiPriority w:val="9"/>
    <w:rPr>
      <w:rFonts w:asciiTheme="majorHAnsi" w:hAnsiTheme="majorHAnsi" w:eastAsiaTheme="majorEastAsia" w:cstheme="majorBidi"/>
      <w:sz w:val="24"/>
      <w:szCs w:val="24"/>
    </w:rPr>
  </w:style>
  <w:style w:type="character" w:customStyle="1" w:styleId="26">
    <w:name w:val="标题 9 字符"/>
    <w:basedOn w:val="16"/>
    <w:link w:val="10"/>
    <w:semiHidden/>
    <w:qFormat/>
    <w:uiPriority w:val="9"/>
    <w:rPr>
      <w:rFonts w:asciiTheme="majorHAnsi" w:hAnsiTheme="majorHAnsi" w:eastAsiaTheme="majorEastAsia" w:cstheme="majorBidi"/>
      <w:szCs w:val="21"/>
    </w:rPr>
  </w:style>
  <w:style w:type="character" w:customStyle="1" w:styleId="27">
    <w:name w:val="页脚 字符"/>
    <w:basedOn w:val="16"/>
    <w:link w:val="12"/>
    <w:qFormat/>
    <w:uiPriority w:val="99"/>
    <w:rPr>
      <w:rFonts w:ascii="宋体" w:hAnsi="宋体" w:eastAsia="宋体"/>
      <w:sz w:val="18"/>
      <w:szCs w:val="18"/>
    </w:rPr>
  </w:style>
  <w:style w:type="character" w:customStyle="1" w:styleId="28">
    <w:name w:val="页眉 字符"/>
    <w:basedOn w:val="16"/>
    <w:link w:val="13"/>
    <w:qFormat/>
    <w:uiPriority w:val="99"/>
    <w:rPr>
      <w:rFonts w:ascii="宋体" w:hAnsi="宋体" w:eastAsia="宋体"/>
      <w:sz w:val="18"/>
      <w:szCs w:val="18"/>
    </w:rPr>
  </w:style>
  <w:style w:type="character" w:customStyle="1" w:styleId="29">
    <w:name w:val="NormalCharacter"/>
    <w:qFormat/>
    <w:uiPriority w:val="0"/>
  </w:style>
  <w:style w:type="character" w:customStyle="1" w:styleId="30">
    <w:name w:val="0KL正文 Char"/>
    <w:link w:val="31"/>
    <w:qFormat/>
    <w:locked/>
    <w:uiPriority w:val="0"/>
    <w:rPr>
      <w:rFonts w:ascii="宋体" w:hAnsi="宋体" w:eastAsia="宋体"/>
      <w:kern w:val="2"/>
      <w:sz w:val="24"/>
      <w:szCs w:val="30"/>
      <w:lang w:val="zh-CN" w:eastAsia="zh-CN"/>
    </w:rPr>
  </w:style>
  <w:style w:type="paragraph" w:customStyle="1" w:styleId="31">
    <w:name w:val="0KL正文"/>
    <w:basedOn w:val="1"/>
    <w:link w:val="30"/>
    <w:qFormat/>
    <w:uiPriority w:val="0"/>
    <w:pPr>
      <w:widowControl w:val="0"/>
      <w:topLinePunct/>
      <w:ind w:firstLine="480" w:firstLineChars="200"/>
      <w:jc w:val="left"/>
    </w:pPr>
    <w:rPr>
      <w:szCs w:val="30"/>
      <w:lang w:val="zh-CN"/>
    </w:rPr>
  </w:style>
  <w:style w:type="character" w:customStyle="1" w:styleId="32">
    <w:name w:val="列表段落 字符"/>
    <w:link w:val="33"/>
    <w:qFormat/>
    <w:locked/>
    <w:uiPriority w:val="99"/>
    <w:rPr>
      <w:rFonts w:ascii="Times New Roman" w:hAnsi="Times New Roman" w:eastAsia="宋体-简" w:cs="Times New Roman"/>
      <w:kern w:val="2"/>
      <w:sz w:val="24"/>
      <w:szCs w:val="24"/>
    </w:rPr>
  </w:style>
  <w:style w:type="paragraph" w:styleId="33">
    <w:name w:val="List Paragraph"/>
    <w:basedOn w:val="1"/>
    <w:link w:val="32"/>
    <w:qFormat/>
    <w:uiPriority w:val="34"/>
    <w:pPr>
      <w:widowControl w:val="0"/>
      <w:spacing w:line="240" w:lineRule="auto"/>
      <w:ind w:firstLine="420" w:firstLineChars="200"/>
    </w:pPr>
    <w:rPr>
      <w:rFonts w:ascii="Times New Roman" w:hAnsi="Times New Roman" w:eastAsia="宋体-简" w:cs="Times New Roman"/>
      <w:szCs w:val="24"/>
    </w:rPr>
  </w:style>
  <w:style w:type="paragraph" w:customStyle="1" w:styleId="34">
    <w:name w:val="标题 3（深信服科技）"/>
    <w:basedOn w:val="4"/>
    <w:next w:val="1"/>
    <w:qFormat/>
    <w:uiPriority w:val="0"/>
    <w:pPr>
      <w:widowControl w:val="0"/>
      <w:numPr>
        <w:numId w:val="2"/>
      </w:numPr>
      <w:tabs>
        <w:tab w:val="left" w:pos="360"/>
        <w:tab w:val="left" w:pos="960"/>
      </w:tabs>
      <w:spacing w:before="260" w:after="260" w:line="412" w:lineRule="auto"/>
      <w:ind w:left="0" w:firstLine="0"/>
      <w:jc w:val="left"/>
    </w:pPr>
    <w:rPr>
      <w:rFonts w:ascii="Arial" w:hAnsi="Arial" w:eastAsia="黑体" w:cs="Times New Roman"/>
      <w:bCs w:val="0"/>
      <w:kern w:val="0"/>
      <w:sz w:val="30"/>
      <w:szCs w:val="30"/>
    </w:rPr>
  </w:style>
  <w:style w:type="character" w:customStyle="1" w:styleId="35">
    <w:name w:val="表格一级（深信服） 字符"/>
    <w:link w:val="36"/>
    <w:qFormat/>
    <w:locked/>
    <w:uiPriority w:val="0"/>
    <w:rPr>
      <w:rFonts w:ascii="Arial" w:hAnsi="Arial" w:eastAsia="Songti SC" w:cs="Arial"/>
      <w:kern w:val="2"/>
      <w:sz w:val="21"/>
      <w:szCs w:val="22"/>
    </w:rPr>
  </w:style>
  <w:style w:type="paragraph" w:customStyle="1" w:styleId="36">
    <w:name w:val="表格一级（深信服）"/>
    <w:basedOn w:val="33"/>
    <w:link w:val="35"/>
    <w:qFormat/>
    <w:uiPriority w:val="0"/>
    <w:pPr>
      <w:numPr>
        <w:ilvl w:val="0"/>
        <w:numId w:val="2"/>
      </w:numPr>
      <w:spacing w:line="360" w:lineRule="auto"/>
      <w:ind w:left="2004" w:right="100" w:rightChars="100" w:firstLine="0" w:firstLineChars="0"/>
      <w:jc w:val="left"/>
    </w:pPr>
    <w:rPr>
      <w:rFonts w:ascii="Arial" w:hAnsi="Arial" w:eastAsia="Songti SC" w:cs="Arial"/>
      <w:sz w:val="21"/>
      <w:szCs w:val="22"/>
    </w:rPr>
  </w:style>
  <w:style w:type="paragraph" w:customStyle="1" w:styleId="37">
    <w:name w:val="正文（深信服）"/>
    <w:qFormat/>
    <w:uiPriority w:val="0"/>
    <w:pPr>
      <w:shd w:val="clear" w:color="auto" w:fill="FFFFFF"/>
      <w:spacing w:line="360" w:lineRule="auto"/>
      <w:ind w:firstLine="420"/>
    </w:pPr>
    <w:rPr>
      <w:rFonts w:ascii="Arial" w:hAnsi="Arial" w:eastAsia="宋体" w:cs="Times New Roman"/>
      <w:sz w:val="24"/>
      <w:szCs w:val="21"/>
      <w:lang w:val="en-US" w:eastAsia="zh-CN" w:bidi="ar-SA"/>
    </w:rPr>
  </w:style>
  <w:style w:type="paragraph" w:customStyle="1" w:styleId="38">
    <w:name w:val="列表（编号一级）（深信服）"/>
    <w:basedOn w:val="37"/>
    <w:qFormat/>
    <w:uiPriority w:val="0"/>
    <w:pPr>
      <w:numPr>
        <w:ilvl w:val="0"/>
        <w:numId w:val="3"/>
      </w:numPr>
    </w:pPr>
  </w:style>
  <w:style w:type="paragraph" w:customStyle="1" w:styleId="39">
    <w:name w:val="列表（编号二级）（深信服）"/>
    <w:basedOn w:val="38"/>
    <w:qFormat/>
    <w:uiPriority w:val="0"/>
    <w:pPr>
      <w:numPr>
        <w:ilvl w:val="1"/>
      </w:numPr>
    </w:pPr>
  </w:style>
  <w:style w:type="paragraph" w:customStyle="1" w:styleId="40">
    <w:name w:val="列出段落1"/>
    <w:basedOn w:val="1"/>
    <w:qFormat/>
    <w:uiPriority w:val="99"/>
    <w:pPr>
      <w:spacing w:line="240" w:lineRule="auto"/>
      <w:ind w:firstLine="420" w:firstLineChars="200"/>
      <w:jc w:val="left"/>
    </w:pPr>
    <w:rPr>
      <w:rFonts w:ascii="Calibri" w:hAnsi="Calibri" w:cs="Times New Roman"/>
      <w:kern w:val="0"/>
      <w:sz w:val="21"/>
    </w:rPr>
  </w:style>
  <w:style w:type="character" w:customStyle="1" w:styleId="41">
    <w:name w:val="批注文字 字符"/>
    <w:basedOn w:val="16"/>
    <w:link w:val="11"/>
    <w:semiHidden/>
    <w:qFormat/>
    <w:uiPriority w:val="99"/>
    <w:rPr>
      <w:rFonts w:ascii="宋体" w:hAnsi="宋体" w:cstheme="minorBidi"/>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14220</Words>
  <Characters>14906</Characters>
  <Lines>115</Lines>
  <Paragraphs>32</Paragraphs>
  <TotalTime>36</TotalTime>
  <ScaleCrop>false</ScaleCrop>
  <LinksUpToDate>false</LinksUpToDate>
  <CharactersWithSpaces>14959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2024-08-09T02:33:00Z</dcterms:created>
  <dc:creator>heary he</dc:creator>
  <cp:lastModifiedBy>老夫子夫</cp:lastModifiedBy>
  <dcterms:modified xsi:type="dcterms:W3CDTF">2024-08-28T03:46:40Z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54B3035137AB43999BE9B6CC74C84160_13</vt:lpwstr>
  </property>
</Properties>
</file>