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ind w:leftChars="0"/>
        <w:jc w:val="left"/>
        <w:rPr>
          <w:rFonts w:hint="default" w:ascii="宋体" w:hAnsi="宋体" w:eastAsia="宋体"/>
          <w:b/>
          <w:color w:val="auto"/>
          <w:lang w:val="en-US" w:eastAsia="zh-CN"/>
        </w:rPr>
      </w:pPr>
      <w:r>
        <w:rPr>
          <w:rFonts w:hint="eastAsia" w:ascii="宋体" w:hAnsi="宋体"/>
          <w:b/>
          <w:color w:val="auto"/>
          <w:lang w:val="en-US" w:eastAsia="zh-CN"/>
        </w:rPr>
        <w:t>用户需求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1</w:t>
      </w:r>
      <w:r>
        <w:rPr>
          <w:rFonts w:hint="eastAsia" w:ascii="宋体" w:hAnsi="宋体" w:cs="宋体"/>
          <w:color w:val="auto"/>
          <w:spacing w:val="0"/>
          <w:sz w:val="24"/>
          <w:szCs w:val="24"/>
          <w:lang w:val="en-US" w:eastAsia="zh-CN"/>
        </w:rPr>
        <w:t>、</w:t>
      </w:r>
      <w:r>
        <w:rPr>
          <w:rFonts w:ascii="宋体" w:hAnsi="宋体" w:eastAsia="宋体" w:cs="宋体"/>
          <w:color w:val="auto"/>
          <w:spacing w:val="0"/>
          <w:sz w:val="24"/>
          <w:szCs w:val="24"/>
        </w:rPr>
        <w:t>服务内容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0" w:firstLineChars="200"/>
        <w:textAlignment w:val="baseline"/>
        <w:rPr>
          <w:rFonts w:ascii="宋体" w:hAnsi="宋体" w:eastAsia="宋体" w:cs="宋体"/>
          <w:color w:val="auto"/>
          <w:spacing w:val="0"/>
          <w:sz w:val="24"/>
          <w:szCs w:val="24"/>
        </w:rPr>
      </w:pPr>
      <w:r>
        <w:rPr>
          <w:rFonts w:hint="eastAsia"/>
          <w:color w:val="auto"/>
        </w:rPr>
        <w:t>供应商</w:t>
      </w:r>
      <w:r>
        <w:rPr>
          <w:rFonts w:hint="eastAsia" w:ascii="宋体" w:hAnsi="宋体" w:eastAsia="宋体" w:cs="宋体"/>
          <w:color w:val="auto"/>
          <w:spacing w:val="0"/>
          <w:sz w:val="24"/>
          <w:szCs w:val="24"/>
          <w:lang w:val="en-US" w:eastAsia="zh-CN"/>
        </w:rPr>
        <w:t>为采购方提供</w:t>
      </w:r>
      <w:r>
        <w:rPr>
          <w:rFonts w:ascii="宋体" w:hAnsi="宋体" w:eastAsia="宋体" w:cs="宋体"/>
          <w:color w:val="auto"/>
          <w:spacing w:val="0"/>
          <w:sz w:val="24"/>
          <w:szCs w:val="24"/>
        </w:rPr>
        <w:t>污水处理站运营托管服务</w:t>
      </w:r>
      <w:r>
        <w:rPr>
          <w:rFonts w:hint="eastAsia" w:ascii="宋体" w:hAnsi="宋体" w:eastAsia="宋体" w:cs="宋体"/>
          <w:color w:val="auto"/>
          <w:spacing w:val="0"/>
          <w:sz w:val="24"/>
          <w:szCs w:val="24"/>
          <w:lang w:eastAsia="zh-CN"/>
        </w:rPr>
        <w:t>，含药剂费、人工费、设备维修维护费、</w:t>
      </w:r>
      <w:r>
        <w:rPr>
          <w:rFonts w:hint="eastAsia" w:ascii="宋体" w:hAnsi="宋体" w:eastAsia="宋体" w:cs="宋体"/>
          <w:color w:val="auto"/>
          <w:spacing w:val="0"/>
          <w:sz w:val="24"/>
          <w:szCs w:val="24"/>
          <w:lang w:val="en-US" w:eastAsia="zh-CN"/>
        </w:rPr>
        <w:t>年度</w:t>
      </w:r>
      <w:r>
        <w:rPr>
          <w:rFonts w:hint="eastAsia" w:ascii="宋体" w:hAnsi="宋体" w:eastAsia="宋体" w:cs="宋体"/>
          <w:color w:val="auto"/>
          <w:spacing w:val="0"/>
          <w:sz w:val="24"/>
          <w:szCs w:val="24"/>
          <w:lang w:eastAsia="zh-CN"/>
        </w:rPr>
        <w:t>检测费</w:t>
      </w:r>
      <w:r>
        <w:rPr>
          <w:rFonts w:hint="eastAsia" w:ascii="宋体" w:hAnsi="宋体" w:eastAsia="宋体" w:cs="宋体"/>
          <w:color w:val="auto"/>
          <w:spacing w:val="0"/>
          <w:sz w:val="24"/>
          <w:szCs w:val="24"/>
          <w:lang w:val="en-US" w:eastAsia="zh-CN"/>
        </w:rPr>
        <w:t>等，自购手持总余氯测试仪器用于实时检测总余氯，所有权属于</w:t>
      </w:r>
      <w:r>
        <w:rPr>
          <w:rFonts w:hint="eastAsia"/>
          <w:color w:val="auto"/>
        </w:rPr>
        <w:t>供应商</w:t>
      </w:r>
      <w:r>
        <w:rPr>
          <w:rFonts w:ascii="宋体" w:hAnsi="宋体" w:eastAsia="宋体" w:cs="宋体"/>
          <w:color w:val="auto"/>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2</w:t>
      </w:r>
      <w:r>
        <w:rPr>
          <w:rFonts w:hint="eastAsia" w:ascii="宋体" w:hAnsi="宋体" w:cs="宋体"/>
          <w:color w:val="auto"/>
          <w:spacing w:val="0"/>
          <w:sz w:val="24"/>
          <w:szCs w:val="24"/>
          <w:lang w:val="en-US" w:eastAsia="zh-CN"/>
        </w:rPr>
        <w:t>、</w:t>
      </w:r>
      <w:r>
        <w:rPr>
          <w:rFonts w:ascii="宋体" w:hAnsi="宋体" w:eastAsia="宋体" w:cs="宋体"/>
          <w:color w:val="auto"/>
          <w:spacing w:val="0"/>
          <w:sz w:val="24"/>
          <w:szCs w:val="24"/>
        </w:rPr>
        <w:t>服务标准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0" w:firstLineChars="200"/>
        <w:textAlignment w:val="baseline"/>
        <w:rPr>
          <w:rFonts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rPr>
        <w:t>进水水质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进水水质参考《医院污水处理技术指南》：</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640"/>
        <w:gridCol w:w="1448"/>
        <w:gridCol w:w="1352"/>
        <w:gridCol w:w="1523"/>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项目</w:t>
            </w:r>
          </w:p>
        </w:tc>
        <w:tc>
          <w:tcPr>
            <w:tcW w:w="16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CODcr（mg/L）</w:t>
            </w:r>
          </w:p>
        </w:tc>
        <w:tc>
          <w:tcPr>
            <w:tcW w:w="1448"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BOD</w:t>
            </w:r>
            <w:r>
              <w:rPr>
                <w:rFonts w:hint="eastAsia" w:ascii="宋体" w:hAnsi="宋体" w:eastAsia="宋体" w:cs="宋体"/>
                <w:sz w:val="21"/>
                <w:szCs w:val="21"/>
                <w:vertAlign w:val="subscript"/>
              </w:rPr>
              <w:t>5</w:t>
            </w:r>
            <w:r>
              <w:rPr>
                <w:rFonts w:hint="eastAsia" w:ascii="宋体" w:hAnsi="宋体" w:eastAsia="宋体" w:cs="宋体"/>
                <w:sz w:val="21"/>
                <w:szCs w:val="21"/>
              </w:rPr>
              <w:t>（mg/L）</w:t>
            </w:r>
          </w:p>
        </w:tc>
        <w:tc>
          <w:tcPr>
            <w:tcW w:w="1352"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SS（mg/L）</w:t>
            </w:r>
          </w:p>
        </w:tc>
        <w:tc>
          <w:tcPr>
            <w:tcW w:w="1523"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N-NH</w:t>
            </w:r>
            <w:r>
              <w:rPr>
                <w:rFonts w:hint="eastAsia" w:ascii="宋体" w:hAnsi="宋体" w:eastAsia="宋体" w:cs="宋体"/>
                <w:sz w:val="21"/>
                <w:szCs w:val="21"/>
                <w:vertAlign w:val="subscript"/>
              </w:rPr>
              <w:t>3</w:t>
            </w:r>
            <w:r>
              <w:rPr>
                <w:rFonts w:hint="eastAsia" w:ascii="宋体" w:hAnsi="宋体" w:eastAsia="宋体" w:cs="宋体"/>
                <w:sz w:val="21"/>
                <w:szCs w:val="21"/>
              </w:rPr>
              <w:t>（mg/L）</w:t>
            </w:r>
          </w:p>
        </w:tc>
        <w:tc>
          <w:tcPr>
            <w:tcW w:w="2247"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粪大肠杆菌（个/L）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污水浓度范围</w:t>
            </w:r>
          </w:p>
        </w:tc>
        <w:tc>
          <w:tcPr>
            <w:tcW w:w="16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150~300</w:t>
            </w:r>
          </w:p>
        </w:tc>
        <w:tc>
          <w:tcPr>
            <w:tcW w:w="1448"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80~150</w:t>
            </w:r>
          </w:p>
        </w:tc>
        <w:tc>
          <w:tcPr>
            <w:tcW w:w="1352"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40~120</w:t>
            </w:r>
          </w:p>
        </w:tc>
        <w:tc>
          <w:tcPr>
            <w:tcW w:w="1523"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10~50</w:t>
            </w:r>
          </w:p>
        </w:tc>
        <w:tc>
          <w:tcPr>
            <w:tcW w:w="2247"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1.0×10</w:t>
            </w:r>
            <w:r>
              <w:rPr>
                <w:rFonts w:hint="eastAsia" w:ascii="宋体" w:hAnsi="宋体" w:eastAsia="宋体" w:cs="宋体"/>
                <w:sz w:val="21"/>
                <w:szCs w:val="21"/>
                <w:vertAlign w:val="superscript"/>
              </w:rPr>
              <w:t>6</w:t>
            </w:r>
            <w:r>
              <w:rPr>
                <w:rFonts w:hint="eastAsia" w:ascii="宋体" w:hAnsi="宋体" w:eastAsia="宋体" w:cs="宋体"/>
                <w:sz w:val="21"/>
                <w:szCs w:val="21"/>
              </w:rPr>
              <w:t>~3.0×10</w:t>
            </w:r>
            <w:r>
              <w:rPr>
                <w:rFonts w:hint="eastAsia" w:ascii="宋体" w:hAnsi="宋体" w:eastAsia="宋体" w:cs="宋体"/>
                <w:sz w:val="21"/>
                <w:szCs w:val="21"/>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平均值</w:t>
            </w:r>
          </w:p>
        </w:tc>
        <w:tc>
          <w:tcPr>
            <w:tcW w:w="1640"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250</w:t>
            </w:r>
          </w:p>
        </w:tc>
        <w:tc>
          <w:tcPr>
            <w:tcW w:w="1448"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100</w:t>
            </w:r>
          </w:p>
        </w:tc>
        <w:tc>
          <w:tcPr>
            <w:tcW w:w="1352"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80</w:t>
            </w:r>
          </w:p>
        </w:tc>
        <w:tc>
          <w:tcPr>
            <w:tcW w:w="1523"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30</w:t>
            </w:r>
          </w:p>
        </w:tc>
        <w:tc>
          <w:tcPr>
            <w:tcW w:w="2247" w:type="dxa"/>
            <w:noWrap w:val="0"/>
            <w:vAlign w:val="center"/>
          </w:tcPr>
          <w:p>
            <w:pPr>
              <w:pStyle w:val="7"/>
              <w:jc w:val="center"/>
              <w:rPr>
                <w:rFonts w:hint="eastAsia" w:ascii="宋体" w:hAnsi="宋体" w:eastAsia="宋体" w:cs="宋体"/>
                <w:sz w:val="21"/>
                <w:szCs w:val="21"/>
              </w:rPr>
            </w:pPr>
            <w:r>
              <w:rPr>
                <w:rFonts w:hint="eastAsia" w:ascii="宋体" w:hAnsi="宋体" w:eastAsia="宋体" w:cs="宋体"/>
                <w:sz w:val="21"/>
                <w:szCs w:val="21"/>
              </w:rPr>
              <w:t>1.6×10</w:t>
            </w:r>
            <w:r>
              <w:rPr>
                <w:rFonts w:hint="eastAsia" w:ascii="宋体" w:hAnsi="宋体" w:eastAsia="宋体" w:cs="宋体"/>
                <w:sz w:val="21"/>
                <w:szCs w:val="21"/>
                <w:vertAlign w:val="superscript"/>
              </w:rPr>
              <w:t>8</w:t>
            </w:r>
          </w:p>
        </w:tc>
      </w:tr>
    </w:tbl>
    <w:p>
      <w:pPr>
        <w:pStyle w:val="3"/>
        <w:ind w:left="0" w:leftChars="0" w:firstLine="0" w:firstLineChars="0"/>
        <w:rPr>
          <w:rFonts w:hint="eastAsia"/>
          <w:lang w:val="en-US" w:eastAsia="zh-CN"/>
        </w:rPr>
      </w:pP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（2）处理水量</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污水站处理能力为20T/D。</w:t>
      </w:r>
      <w:bookmarkStart w:id="0" w:name="_GoBack"/>
      <w:bookmarkEnd w:id="0"/>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（3）排放标准</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达到《医疗机构水污染物排放标准》（GB18466—</w:t>
      </w:r>
      <w:r>
        <w:rPr>
          <w:rFonts w:hint="default" w:ascii="宋体" w:hAnsi="宋体" w:eastAsia="宋体" w:cs="宋体"/>
          <w:color w:val="auto"/>
          <w:lang w:val="en-US" w:eastAsia="zh-CN"/>
        </w:rPr>
        <w:t>2005</w:t>
      </w:r>
      <w:r>
        <w:rPr>
          <w:rFonts w:hint="eastAsia" w:ascii="宋体" w:hAnsi="宋体" w:eastAsia="宋体" w:cs="宋体"/>
          <w:color w:val="auto"/>
          <w:lang w:val="en-US" w:eastAsia="zh-CN"/>
        </w:rPr>
        <w:t>）预处理标准及市政入网的排放标准规定。</w:t>
      </w:r>
    </w:p>
    <w:p>
      <w:pPr>
        <w:pStyle w:val="4"/>
        <w:numPr>
          <w:ilvl w:val="0"/>
          <w:numId w:val="0"/>
        </w:numPr>
        <w:spacing w:before="0" w:beforeAutospacing="0" w:after="0" w:afterAutospacing="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3 </w:t>
      </w:r>
      <w:r>
        <w:rPr>
          <w:rFonts w:hint="eastAsia" w:cs="宋体"/>
          <w:color w:val="auto"/>
          <w:lang w:val="en-US" w:eastAsia="zh-CN"/>
        </w:rPr>
        <w:t>、</w:t>
      </w:r>
      <w:r>
        <w:rPr>
          <w:rFonts w:hint="eastAsia" w:ascii="宋体" w:hAnsi="宋体" w:eastAsia="宋体" w:cs="宋体"/>
          <w:color w:val="auto"/>
          <w:lang w:val="en-US" w:eastAsia="zh-CN"/>
        </w:rPr>
        <w:t>运营服务要求</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（1）中标方负责污水站运营管理，严格按污水站相关规范安全运营，保证出水水质达标、安全生产。</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（2）中标方负责对污水处理站进行日常维护保养工作。</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（3）中标方应按照规定的时间和要求向甲方提交相应的运营记录等资料。</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（4）污水站格栅垃圾、调节池等池体产生固体废物属于医疗废物，由采购方负责污泥外运处置及承担处理费用，中标方负责污泥脱水打包。</w:t>
      </w:r>
    </w:p>
    <w:p>
      <w:pPr>
        <w:pStyle w:val="4"/>
        <w:numPr>
          <w:ilvl w:val="0"/>
          <w:numId w:val="0"/>
        </w:numPr>
        <w:spacing w:before="0" w:beforeAutospacing="0" w:after="0" w:afterAutospacing="0"/>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（5）中标方负责污水站单个备件或单个设备1000元以下的备品备件。(单个备件或单个设备1000元以上的备品备件、不可修复的设备更换费用由采购方负责，费用以采购方询价为准)</w:t>
      </w:r>
    </w:p>
    <w:p>
      <w:pPr>
        <w:pStyle w:val="4"/>
        <w:numPr>
          <w:ilvl w:val="0"/>
          <w:numId w:val="0"/>
        </w:numPr>
        <w:spacing w:before="0" w:beforeAutospacing="0" w:after="0" w:afterAutospacing="0"/>
        <w:ind w:firstLine="480" w:firstLineChars="200"/>
        <w:rPr>
          <w:rFonts w:hint="default" w:eastAsia="宋体"/>
          <w:lang w:val="en-US" w:eastAsia="zh-CN"/>
        </w:rPr>
      </w:pPr>
      <w:r>
        <w:rPr>
          <w:rFonts w:hint="eastAsia" w:ascii="宋体" w:hAnsi="宋体" w:eastAsia="宋体" w:cs="宋体"/>
          <w:color w:val="auto"/>
          <w:lang w:val="en-US" w:eastAsia="zh-CN"/>
        </w:rPr>
        <w:t>（6）在原水水质水量情况符合约定的情况下，由于中标方操作或管理不当使污水站出水超标所造成的环保罚款由中标方承担。</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9"/>
          <w:sz w:val="24"/>
          <w:szCs w:val="24"/>
          <w:lang w:val="en-US" w:eastAsia="zh-CN"/>
        </w:rPr>
        <w:t>4</w:t>
      </w:r>
      <w:r>
        <w:rPr>
          <w:rFonts w:hint="eastAsia" w:ascii="宋体" w:hAnsi="宋体" w:cs="宋体"/>
          <w:color w:val="auto"/>
          <w:spacing w:val="-9"/>
          <w:sz w:val="24"/>
          <w:szCs w:val="24"/>
          <w:lang w:val="en-US" w:eastAsia="zh-CN"/>
        </w:rPr>
        <w:t>、</w:t>
      </w:r>
      <w:r>
        <w:rPr>
          <w:rFonts w:hint="eastAsia" w:ascii="宋体" w:hAnsi="宋体" w:eastAsia="宋体" w:cs="宋体"/>
          <w:color w:val="auto"/>
          <w:spacing w:val="-9"/>
          <w:sz w:val="24"/>
          <w:szCs w:val="24"/>
          <w:lang w:val="en-US" w:eastAsia="zh-CN"/>
        </w:rPr>
        <w:t xml:space="preserve"> </w:t>
      </w:r>
      <w:r>
        <w:rPr>
          <w:rFonts w:hint="eastAsia" w:ascii="宋体" w:hAnsi="宋体" w:eastAsia="宋体" w:cs="宋体"/>
          <w:color w:val="auto"/>
          <w:spacing w:val="0"/>
          <w:sz w:val="24"/>
          <w:szCs w:val="24"/>
        </w:rPr>
        <w:t>服务期限及地点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服务</w:t>
      </w:r>
      <w:r>
        <w:rPr>
          <w:rFonts w:hint="eastAsia" w:ascii="宋体" w:hAnsi="宋体" w:eastAsia="宋体" w:cs="宋体"/>
          <w:color w:val="auto"/>
          <w:spacing w:val="0"/>
          <w:sz w:val="24"/>
          <w:szCs w:val="24"/>
        </w:rPr>
        <w:t>期限为</w:t>
      </w:r>
      <w:r>
        <w:rPr>
          <w:rFonts w:hint="eastAsia" w:ascii="宋体" w:hAnsi="宋体" w:cs="宋体"/>
          <w:color w:val="auto"/>
          <w:spacing w:val="0"/>
          <w:sz w:val="24"/>
          <w:szCs w:val="24"/>
          <w:lang w:val="en-US" w:eastAsia="zh-CN"/>
        </w:rPr>
        <w:t>三</w:t>
      </w:r>
      <w:r>
        <w:rPr>
          <w:rFonts w:hint="eastAsia" w:ascii="宋体" w:hAnsi="宋体" w:eastAsia="宋体" w:cs="宋体"/>
          <w:color w:val="auto"/>
          <w:spacing w:val="0"/>
          <w:sz w:val="24"/>
          <w:szCs w:val="24"/>
          <w:lang w:val="en-US" w:eastAsia="zh-CN"/>
        </w:rPr>
        <w:t>年</w:t>
      </w:r>
      <w:r>
        <w:rPr>
          <w:rFonts w:hint="eastAsia" w:ascii="宋体" w:hAnsi="宋体" w:eastAsia="宋体" w:cs="宋体"/>
          <w:color w:val="auto"/>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80" w:firstLineChars="20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2</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 xml:space="preserve">服务地点: </w:t>
      </w:r>
      <w:r>
        <w:rPr>
          <w:rFonts w:hint="eastAsia" w:ascii="宋体" w:hAnsi="宋体" w:eastAsia="宋体" w:cs="宋体"/>
          <w:color w:val="auto"/>
          <w:spacing w:val="0"/>
          <w:sz w:val="24"/>
          <w:szCs w:val="24"/>
          <w:lang w:val="en-US" w:eastAsia="zh-CN"/>
        </w:rPr>
        <w:t>海南医学院第二附属医院乌石分院污水处理站</w:t>
      </w:r>
      <w:r>
        <w:rPr>
          <w:rFonts w:hint="eastAsia" w:ascii="宋体" w:hAnsi="宋体" w:eastAsia="宋体" w:cs="宋体"/>
          <w:color w:val="auto"/>
          <w:spacing w:val="0"/>
          <w:sz w:val="24"/>
          <w:szCs w:val="24"/>
        </w:rPr>
        <w:t>。</w:t>
      </w: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4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unhideWhenUsed/>
    <w:qFormat/>
    <w:uiPriority w:val="0"/>
    <w:pPr>
      <w:keepNext/>
      <w:keepLines/>
      <w:tabs>
        <w:tab w:val="left" w:pos="0"/>
      </w:tabs>
      <w:spacing w:line="360" w:lineRule="auto"/>
      <w:jc w:val="center"/>
      <w:outlineLvl w:val="1"/>
    </w:pPr>
    <w:rPr>
      <w:rFonts w:ascii="Cambria" w:hAnsi="Cambria" w:eastAsia="宋体" w:cs="Times New Roman"/>
      <w:b/>
      <w:sz w:val="28"/>
      <w:szCs w:val="32"/>
      <w:lang w:eastAsia="en-U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unhideWhenUsed/>
    <w:qFormat/>
    <w:uiPriority w:val="0"/>
    <w:pPr>
      <w:widowControl w:val="0"/>
      <w:spacing w:line="240" w:lineRule="auto"/>
      <w:ind w:firstLine="420" w:firstLineChars="0"/>
      <w:jc w:val="both"/>
    </w:pPr>
    <w:rPr>
      <w:rFonts w:ascii="Calibri" w:hAnsi="Calibri"/>
      <w:kern w:val="2"/>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无间隔1"/>
    <w:qFormat/>
    <w:uiPriority w:val="1"/>
    <w:pPr>
      <w:widowControl w:val="0"/>
      <w:jc w:val="both"/>
    </w:pPr>
    <w:rPr>
      <w:rFonts w:ascii="等线" w:hAnsi="等线"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2023-10-31T03:42:02Z</dcterms:created>
  <dc:creator>Administrator</dc:creator>
  <cp:lastModifiedBy>Administrator</cp:lastModifiedBy>
  <dcterms:modified xsi:type="dcterms:W3CDTF">2023-10-31T03:43:22Z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