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手术室系统运维服务采购项目</w:t>
      </w:r>
    </w:p>
    <w:p>
      <w:pPr>
        <w:pStyle w:val="11"/>
        <w:spacing w:before="156" w:beforeLines="50" w:after="156" w:afterLines="50"/>
        <w:jc w:val="both"/>
        <w:outlineLvl w:val="0"/>
        <w:rPr>
          <w:rFonts w:ascii="宋体" w:hAnsi="宋体" w:eastAsia="宋体"/>
          <w:kern w:val="2"/>
          <w:sz w:val="24"/>
          <w:szCs w:val="24"/>
        </w:rPr>
      </w:pPr>
      <w:bookmarkStart w:id="0" w:name="_Toc337472920"/>
      <w:r>
        <w:rPr>
          <w:rFonts w:hint="eastAsia" w:ascii="宋体" w:hAnsi="宋体" w:eastAsia="宋体"/>
          <w:kern w:val="2"/>
          <w:sz w:val="24"/>
          <w:szCs w:val="24"/>
        </w:rPr>
        <w:t>一、 用户需求书</w:t>
      </w:r>
      <w:bookmarkEnd w:id="0"/>
    </w:p>
    <w:p>
      <w:pPr>
        <w:widowControl/>
        <w:tabs>
          <w:tab w:val="left" w:pos="530"/>
        </w:tabs>
        <w:snapToGrid w:val="0"/>
        <w:spacing w:line="460" w:lineRule="exact"/>
        <w:ind w:left="420"/>
        <w:jc w:val="left"/>
        <w:rPr>
          <w:rFonts w:ascii="宋体" w:hAnsi="宋体"/>
          <w:color w:val="000000"/>
          <w:szCs w:val="21"/>
        </w:rPr>
      </w:pPr>
      <w:r>
        <w:rPr>
          <w:rFonts w:hint="eastAsia" w:ascii="宋体" w:hAnsi="宋体"/>
          <w:color w:val="000000"/>
          <w:szCs w:val="21"/>
        </w:rPr>
        <w:t>1.本项目报价应包括：维护期内</w:t>
      </w:r>
      <w:r>
        <w:rPr>
          <w:rFonts w:hint="eastAsia" w:ascii="宋体" w:hAnsi="宋体"/>
          <w:szCs w:val="21"/>
        </w:rPr>
        <w:t>系统</w:t>
      </w:r>
      <w:r>
        <w:rPr>
          <w:rFonts w:hint="eastAsia" w:ascii="宋体" w:hAnsi="宋体"/>
          <w:color w:val="000000"/>
          <w:szCs w:val="21"/>
        </w:rPr>
        <w:t>的养护、检测、系统</w:t>
      </w:r>
      <w:r>
        <w:rPr>
          <w:rFonts w:hint="eastAsia" w:ascii="宋体" w:hAnsi="宋体"/>
          <w:color w:val="000000"/>
          <w:szCs w:val="21"/>
          <w:lang w:val="en-US" w:eastAsia="zh-CN"/>
        </w:rPr>
        <w:t>客户化需求改造</w:t>
      </w:r>
      <w:r>
        <w:rPr>
          <w:rFonts w:hint="eastAsia" w:ascii="宋体" w:hAnsi="宋体"/>
          <w:color w:val="000000"/>
          <w:szCs w:val="21"/>
        </w:rPr>
        <w:t>、故障排除、技术支持</w:t>
      </w:r>
      <w:r>
        <w:rPr>
          <w:rFonts w:hint="eastAsia" w:ascii="宋体" w:hAnsi="宋体"/>
          <w:color w:val="000000"/>
          <w:szCs w:val="21"/>
          <w:lang w:eastAsia="zh-CN"/>
        </w:rPr>
        <w:t>、</w:t>
      </w:r>
      <w:r>
        <w:rPr>
          <w:rFonts w:hint="eastAsia" w:ascii="宋体" w:hAnsi="宋体"/>
          <w:color w:val="000000"/>
          <w:szCs w:val="21"/>
          <w:lang w:val="en-US" w:eastAsia="zh-CN"/>
        </w:rPr>
        <w:t>各系统接口对接</w:t>
      </w:r>
      <w:r>
        <w:rPr>
          <w:rFonts w:hint="eastAsia" w:ascii="宋体" w:hAnsi="宋体"/>
          <w:color w:val="000000"/>
          <w:szCs w:val="21"/>
        </w:rPr>
        <w:t>等工作所需费用、税费等在内的全包费用。</w:t>
      </w:r>
    </w:p>
    <w:p>
      <w:pPr>
        <w:widowControl/>
        <w:tabs>
          <w:tab w:val="left" w:pos="530"/>
        </w:tabs>
        <w:snapToGrid w:val="0"/>
        <w:spacing w:line="460" w:lineRule="exact"/>
        <w:ind w:left="420"/>
        <w:jc w:val="left"/>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成交报价人不得以任何方式转包或分包本项目。</w:t>
      </w:r>
    </w:p>
    <w:p>
      <w:pPr>
        <w:widowControl/>
        <w:tabs>
          <w:tab w:val="left" w:pos="530"/>
        </w:tabs>
        <w:snapToGrid w:val="0"/>
        <w:spacing w:line="460" w:lineRule="exact"/>
        <w:ind w:left="420"/>
        <w:jc w:val="left"/>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本次采购的系统维护期限为一年，维护价格为实际中标价格。</w:t>
      </w:r>
    </w:p>
    <w:p>
      <w:pPr>
        <w:spacing w:before="156" w:beforeLines="50" w:after="156" w:afterLines="50" w:line="360" w:lineRule="auto"/>
        <w:outlineLvl w:val="0"/>
        <w:rPr>
          <w:rFonts w:ascii="宋体" w:hAnsi="宋体"/>
          <w:b/>
          <w:sz w:val="24"/>
        </w:rPr>
      </w:pPr>
      <w:r>
        <w:rPr>
          <w:rFonts w:hint="eastAsia" w:ascii="宋体" w:hAnsi="宋体"/>
          <w:b/>
          <w:sz w:val="24"/>
        </w:rPr>
        <w:t>二、采购清单</w:t>
      </w:r>
    </w:p>
    <w:tbl>
      <w:tblPr>
        <w:tblStyle w:val="6"/>
        <w:tblW w:w="84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254"/>
        <w:gridCol w:w="818"/>
        <w:gridCol w:w="1904"/>
        <w:gridCol w:w="25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63" w:type="dxa"/>
            <w:shd w:val="clear" w:color="auto" w:fill="E0E0E0"/>
            <w:vAlign w:val="center"/>
          </w:tcPr>
          <w:p>
            <w:pPr>
              <w:spacing w:line="360" w:lineRule="auto"/>
              <w:jc w:val="center"/>
              <w:rPr>
                <w:rFonts w:ascii="宋体" w:hAnsi="宋体"/>
                <w:b/>
                <w:bCs/>
                <w:color w:val="000000"/>
                <w:szCs w:val="21"/>
              </w:rPr>
            </w:pPr>
            <w:r>
              <w:rPr>
                <w:rFonts w:hint="eastAsia" w:ascii="宋体" w:hAnsi="宋体"/>
                <w:b/>
                <w:bCs/>
                <w:color w:val="000000"/>
                <w:szCs w:val="21"/>
              </w:rPr>
              <w:t>序号</w:t>
            </w:r>
          </w:p>
        </w:tc>
        <w:tc>
          <w:tcPr>
            <w:tcW w:w="2254" w:type="dxa"/>
            <w:shd w:val="clear" w:color="auto" w:fill="E0E0E0"/>
            <w:vAlign w:val="center"/>
          </w:tcPr>
          <w:p>
            <w:pPr>
              <w:spacing w:line="360" w:lineRule="auto"/>
              <w:jc w:val="center"/>
              <w:rPr>
                <w:rFonts w:ascii="宋体" w:hAnsi="宋体"/>
                <w:b/>
                <w:bCs/>
                <w:color w:val="000000"/>
                <w:szCs w:val="21"/>
              </w:rPr>
            </w:pPr>
            <w:r>
              <w:rPr>
                <w:rFonts w:hint="eastAsia" w:ascii="宋体" w:hAnsi="宋体"/>
                <w:b/>
                <w:bCs/>
                <w:color w:val="000000"/>
                <w:szCs w:val="21"/>
              </w:rPr>
              <w:t>名称</w:t>
            </w:r>
          </w:p>
        </w:tc>
        <w:tc>
          <w:tcPr>
            <w:tcW w:w="818" w:type="dxa"/>
            <w:tcBorders>
              <w:right w:val="single" w:color="auto" w:sz="4" w:space="0"/>
            </w:tcBorders>
            <w:shd w:val="clear" w:color="auto" w:fill="E0E0E0"/>
            <w:vAlign w:val="center"/>
          </w:tcPr>
          <w:p>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904" w:type="dxa"/>
            <w:tcBorders>
              <w:left w:val="single" w:color="auto" w:sz="4" w:space="0"/>
              <w:right w:val="single" w:color="auto" w:sz="4" w:space="0"/>
            </w:tcBorders>
            <w:shd w:val="clear" w:color="auto" w:fill="E0E0E0"/>
            <w:vAlign w:val="center"/>
          </w:tcPr>
          <w:p>
            <w:pPr>
              <w:spacing w:line="360" w:lineRule="auto"/>
              <w:jc w:val="center"/>
              <w:rPr>
                <w:rFonts w:ascii="宋体" w:hAnsi="宋体"/>
                <w:b/>
                <w:bCs/>
                <w:color w:val="000000"/>
                <w:szCs w:val="21"/>
              </w:rPr>
            </w:pPr>
            <w:r>
              <w:rPr>
                <w:rFonts w:hint="eastAsia" w:ascii="宋体" w:hAnsi="宋体"/>
                <w:b/>
                <w:bCs/>
                <w:color w:val="000000"/>
                <w:szCs w:val="21"/>
              </w:rPr>
              <w:t>项目预算</w:t>
            </w:r>
          </w:p>
        </w:tc>
        <w:tc>
          <w:tcPr>
            <w:tcW w:w="2511" w:type="dxa"/>
            <w:tcBorders>
              <w:left w:val="single" w:color="auto" w:sz="4" w:space="0"/>
            </w:tcBorders>
            <w:shd w:val="clear" w:color="auto" w:fill="E0E0E0"/>
            <w:vAlign w:val="center"/>
          </w:tcPr>
          <w:p>
            <w:pPr>
              <w:spacing w:line="360" w:lineRule="auto"/>
              <w:jc w:val="center"/>
              <w:rPr>
                <w:rFonts w:ascii="宋体" w:hAnsi="宋体"/>
                <w:b/>
                <w:bCs/>
                <w:color w:val="000000"/>
                <w:szCs w:val="21"/>
              </w:rPr>
            </w:pPr>
            <w:r>
              <w:rPr>
                <w:rFonts w:hint="eastAsia" w:ascii="宋体" w:hAnsi="宋体"/>
                <w:b/>
                <w:bCs/>
                <w:color w:val="000000"/>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63"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2254" w:type="dxa"/>
            <w:vAlign w:val="center"/>
          </w:tcPr>
          <w:p>
            <w:pPr>
              <w:spacing w:line="360" w:lineRule="auto"/>
              <w:jc w:val="center"/>
              <w:rPr>
                <w:rFonts w:ascii="宋体" w:hAnsi="宋体"/>
                <w:color w:val="000000"/>
                <w:szCs w:val="21"/>
              </w:rPr>
            </w:pPr>
            <w:r>
              <w:rPr>
                <w:rFonts w:hint="eastAsia" w:ascii="宋体" w:hAnsi="宋体"/>
                <w:color w:val="000000"/>
                <w:szCs w:val="21"/>
              </w:rPr>
              <w:t>手术室系统运维</w:t>
            </w:r>
          </w:p>
        </w:tc>
        <w:tc>
          <w:tcPr>
            <w:tcW w:w="818" w:type="dxa"/>
            <w:tcBorders>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1年</w:t>
            </w:r>
          </w:p>
        </w:tc>
        <w:tc>
          <w:tcPr>
            <w:tcW w:w="1904" w:type="dxa"/>
            <w:tcBorders>
              <w:left w:val="single" w:color="auto" w:sz="4" w:space="0"/>
              <w:right w:val="single" w:color="auto" w:sz="4" w:space="0"/>
            </w:tcBorders>
            <w:vAlign w:val="center"/>
          </w:tcPr>
          <w:p>
            <w:pPr>
              <w:pStyle w:val="14"/>
              <w:kinsoku w:val="0"/>
              <w:overflowPunct w:val="0"/>
              <w:spacing w:before="11" w:line="360" w:lineRule="auto"/>
              <w:rPr>
                <w:rFonts w:hint="default" w:ascii="宋体" w:hAnsi="宋体" w:cs="宋体"/>
                <w:sz w:val="20"/>
                <w:szCs w:val="20"/>
              </w:rPr>
            </w:pPr>
            <w:r>
              <w:rPr>
                <w:rFonts w:hint="eastAsia" w:ascii="宋体" w:hAnsi="宋体" w:eastAsia="宋体" w:cs="Times New Roman"/>
                <w:color w:val="000000"/>
                <w:kern w:val="2"/>
                <w:sz w:val="21"/>
                <w:szCs w:val="21"/>
                <w:lang w:val="en-US" w:eastAsia="zh-CN" w:bidi="ar-SA"/>
              </w:rPr>
              <w:t>22.5万元</w:t>
            </w:r>
          </w:p>
        </w:tc>
        <w:tc>
          <w:tcPr>
            <w:tcW w:w="2511" w:type="dxa"/>
            <w:tcBorders>
              <w:lef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维护期限：从合同签订</w:t>
            </w:r>
          </w:p>
          <w:p>
            <w:pPr>
              <w:spacing w:line="360" w:lineRule="auto"/>
              <w:jc w:val="center"/>
              <w:rPr>
                <w:rFonts w:ascii="宋体" w:hAnsi="宋体"/>
                <w:color w:val="000000"/>
                <w:szCs w:val="21"/>
              </w:rPr>
            </w:pPr>
            <w:r>
              <w:rPr>
                <w:rFonts w:hint="eastAsia" w:ascii="宋体" w:hAnsi="宋体"/>
                <w:color w:val="000000"/>
                <w:szCs w:val="21"/>
              </w:rPr>
              <w:t>之日起计算一年</w:t>
            </w:r>
          </w:p>
        </w:tc>
      </w:tr>
    </w:tbl>
    <w:p>
      <w:pPr>
        <w:rPr>
          <w:rFonts w:ascii="宋体" w:hAnsi="宋体"/>
          <w:szCs w:val="21"/>
        </w:rPr>
      </w:pPr>
    </w:p>
    <w:p>
      <w:pPr>
        <w:spacing w:before="156" w:beforeLines="50" w:after="156" w:afterLines="50" w:line="360" w:lineRule="auto"/>
        <w:outlineLvl w:val="0"/>
        <w:rPr>
          <w:rFonts w:ascii="宋体" w:hAnsi="宋体"/>
          <w:b/>
          <w:sz w:val="24"/>
        </w:rPr>
      </w:pPr>
      <w:r>
        <w:rPr>
          <w:rFonts w:hint="eastAsia" w:ascii="宋体" w:hAnsi="宋体"/>
          <w:b/>
          <w:sz w:val="24"/>
        </w:rPr>
        <w:t>三、项目基本要求</w:t>
      </w:r>
    </w:p>
    <w:p>
      <w:pPr>
        <w:spacing w:line="360" w:lineRule="auto"/>
        <w:rPr>
          <w:rFonts w:ascii="宋体" w:hAnsi="宋体"/>
          <w:szCs w:val="21"/>
        </w:rPr>
      </w:pPr>
      <w:r>
        <w:rPr>
          <w:rFonts w:hint="eastAsia" w:ascii="宋体" w:hAnsi="宋体" w:cs="宋体"/>
          <w:szCs w:val="21"/>
        </w:rPr>
        <w:t>1</w:t>
      </w:r>
      <w:r>
        <w:rPr>
          <w:rFonts w:ascii="宋体" w:hAnsi="宋体"/>
          <w:szCs w:val="21"/>
        </w:rPr>
        <w:t>.</w:t>
      </w:r>
      <w:r>
        <w:rPr>
          <w:rFonts w:hint="eastAsia" w:ascii="宋体" w:hAnsi="宋体" w:cs="宋体"/>
          <w:szCs w:val="21"/>
        </w:rPr>
        <w:t>服务要求：</w:t>
      </w:r>
    </w:p>
    <w:p>
      <w:pPr>
        <w:spacing w:line="360" w:lineRule="auto"/>
        <w:rPr>
          <w:rFonts w:ascii="宋体" w:hAnsi="宋体"/>
          <w:szCs w:val="21"/>
        </w:rPr>
      </w:pPr>
      <w:r>
        <w:rPr>
          <w:rFonts w:hint="eastAsia" w:ascii="宋体" w:hAnsi="宋体" w:cs="宋体"/>
          <w:szCs w:val="21"/>
        </w:rPr>
        <w:t>保障软件的正常运行，对软件中存在的缺陷进行优化，确保软件的正常使用。</w:t>
      </w:r>
    </w:p>
    <w:p>
      <w:pPr>
        <w:spacing w:line="360" w:lineRule="auto"/>
        <w:rPr>
          <w:rFonts w:ascii="宋体" w:hAnsi="宋体"/>
          <w:szCs w:val="21"/>
        </w:rPr>
      </w:pPr>
      <w:r>
        <w:rPr>
          <w:rFonts w:hint="eastAsia" w:ascii="宋体" w:hAnsi="宋体" w:cs="宋体"/>
          <w:szCs w:val="21"/>
        </w:rPr>
        <w:t>2</w:t>
      </w:r>
      <w:r>
        <w:rPr>
          <w:rFonts w:ascii="宋体" w:hAnsi="宋体"/>
          <w:szCs w:val="21"/>
        </w:rPr>
        <w:t>.</w:t>
      </w:r>
      <w:r>
        <w:rPr>
          <w:rFonts w:hint="eastAsia" w:ascii="宋体" w:hAnsi="宋体" w:cs="宋体"/>
          <w:szCs w:val="21"/>
        </w:rPr>
        <w:t>服务方式：</w:t>
      </w:r>
    </w:p>
    <w:p>
      <w:pPr>
        <w:spacing w:line="360" w:lineRule="auto"/>
        <w:rPr>
          <w:rFonts w:ascii="宋体" w:hAnsi="宋体"/>
          <w:szCs w:val="21"/>
        </w:rPr>
      </w:pPr>
      <w:r>
        <w:rPr>
          <w:rFonts w:hint="eastAsia" w:ascii="宋体" w:hAnsi="宋体" w:cs="宋体"/>
          <w:szCs w:val="21"/>
        </w:rPr>
        <w:t>（1）远程电话支持：具有全国客服热线，电话7×24小时远程支持或软件技术问题解决与分发。</w:t>
      </w:r>
    </w:p>
    <w:p>
      <w:pPr>
        <w:spacing w:line="360" w:lineRule="auto"/>
        <w:rPr>
          <w:rFonts w:ascii="宋体" w:hAnsi="宋体"/>
          <w:szCs w:val="21"/>
        </w:rPr>
      </w:pPr>
      <w:r>
        <w:rPr>
          <w:rFonts w:hint="eastAsia" w:ascii="宋体" w:hAnsi="宋体" w:cs="宋体"/>
          <w:szCs w:val="21"/>
        </w:rPr>
        <w:t>（2）远程技术支持服务：有条件进行远程，将通过远程工具第一时间解决故障问题，保证系统运行。</w:t>
      </w:r>
    </w:p>
    <w:p>
      <w:pPr>
        <w:spacing w:line="360" w:lineRule="auto"/>
        <w:rPr>
          <w:rFonts w:ascii="宋体" w:hAnsi="宋体"/>
          <w:szCs w:val="21"/>
        </w:rPr>
      </w:pPr>
      <w:r>
        <w:rPr>
          <w:rFonts w:hint="eastAsia" w:ascii="宋体" w:hAnsi="宋体" w:cs="宋体"/>
          <w:szCs w:val="21"/>
        </w:rPr>
        <w:t>（3）现场服务：可提供派遣技术人员到使用现场解决问题，并对系统进行系统保障的服务。</w:t>
      </w:r>
    </w:p>
    <w:p>
      <w:pPr>
        <w:spacing w:line="360" w:lineRule="auto"/>
        <w:rPr>
          <w:rFonts w:ascii="宋体" w:hAnsi="宋体"/>
          <w:szCs w:val="21"/>
        </w:rPr>
      </w:pPr>
      <w:r>
        <w:rPr>
          <w:rFonts w:hint="eastAsia" w:ascii="宋体" w:hAnsi="宋体" w:cs="宋体"/>
          <w:szCs w:val="21"/>
        </w:rPr>
        <w:t>3</w:t>
      </w:r>
      <w:r>
        <w:rPr>
          <w:rFonts w:ascii="宋体" w:hAnsi="宋体"/>
          <w:szCs w:val="21"/>
        </w:rPr>
        <w:t>.</w:t>
      </w:r>
      <w:r>
        <w:rPr>
          <w:rFonts w:hint="eastAsia" w:ascii="宋体" w:hAnsi="宋体" w:cs="宋体"/>
          <w:szCs w:val="21"/>
        </w:rPr>
        <w:t>联机服务：</w:t>
      </w:r>
    </w:p>
    <w:p>
      <w:pPr>
        <w:spacing w:line="360" w:lineRule="auto"/>
        <w:rPr>
          <w:rFonts w:ascii="宋体" w:hAnsi="宋体"/>
          <w:szCs w:val="21"/>
        </w:rPr>
      </w:pPr>
      <w:r>
        <w:rPr>
          <w:rFonts w:hint="eastAsia" w:ascii="宋体" w:hAnsi="宋体" w:cs="宋体"/>
          <w:szCs w:val="21"/>
        </w:rPr>
        <w:t>（1）远程电话支持：电话7×24小时远程支持或软件技术问题解决与分发。</w:t>
      </w:r>
    </w:p>
    <w:p>
      <w:pPr>
        <w:spacing w:line="360" w:lineRule="auto"/>
        <w:rPr>
          <w:rFonts w:ascii="宋体" w:hAnsi="宋体"/>
          <w:szCs w:val="21"/>
        </w:rPr>
      </w:pPr>
      <w:r>
        <w:rPr>
          <w:rFonts w:hint="eastAsia" w:ascii="宋体" w:hAnsi="宋体" w:cs="宋体"/>
          <w:szCs w:val="21"/>
        </w:rPr>
        <w:t>（2）故障维护：配合院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rPr>
          <w:rFonts w:ascii="宋体" w:hAnsi="宋体"/>
          <w:szCs w:val="21"/>
        </w:rPr>
      </w:pPr>
      <w:r>
        <w:rPr>
          <w:rFonts w:hint="eastAsia" w:ascii="宋体" w:hAnsi="宋体" w:cs="宋体"/>
          <w:szCs w:val="21"/>
        </w:rPr>
        <w:t>（3）软件正确性维护：软件运行过程中新发现的软件错误，负责维护并及时改进，同时向院方提供软件维护说明。</w:t>
      </w:r>
    </w:p>
    <w:p>
      <w:pPr>
        <w:spacing w:line="360" w:lineRule="auto"/>
        <w:rPr>
          <w:rFonts w:ascii="宋体" w:hAnsi="宋体"/>
          <w:szCs w:val="21"/>
        </w:rPr>
      </w:pPr>
      <w:r>
        <w:rPr>
          <w:rFonts w:hint="eastAsia" w:ascii="宋体" w:hAnsi="宋体" w:cs="宋体"/>
          <w:szCs w:val="21"/>
        </w:rPr>
        <w:t>（4）用户培训：负责软件更改后造成软件操作变化的使用培训，培训对象为院方的医生、护士、技术工程师、业务科室的关键用户。同时向院方提供新功能使用说明。</w:t>
      </w:r>
    </w:p>
    <w:p>
      <w:pPr>
        <w:spacing w:line="360" w:lineRule="auto"/>
        <w:rPr>
          <w:rFonts w:ascii="宋体" w:hAnsi="宋体"/>
          <w:szCs w:val="21"/>
        </w:rPr>
      </w:pPr>
      <w:r>
        <w:rPr>
          <w:rFonts w:hint="eastAsia" w:ascii="宋体" w:hAnsi="宋体" w:cs="宋体"/>
          <w:szCs w:val="21"/>
        </w:rPr>
        <w:t>（5）定时巡检：经院方许可，每季度进行一次定期现场巡检，对院方应用软件的软硬件环境进行检查，发现系统稳定运行的隐患因素并及时排除。向院方出具系统巡检报告，内容包含巡检范围、结果及巡检建议。</w:t>
      </w:r>
    </w:p>
    <w:p>
      <w:pPr>
        <w:spacing w:line="360" w:lineRule="auto"/>
        <w:rPr>
          <w:rFonts w:ascii="宋体" w:hAnsi="宋体"/>
          <w:szCs w:val="21"/>
        </w:rPr>
      </w:pPr>
      <w:r>
        <w:rPr>
          <w:rFonts w:hint="eastAsia" w:ascii="宋体" w:hAnsi="宋体" w:cs="宋体"/>
          <w:szCs w:val="21"/>
        </w:rPr>
        <w:t>（6）需求的更新：由于国家卫生主管部门政策变化导致本合同范围内的软件系统功能中的表单内容</w:t>
      </w:r>
      <w:r>
        <w:rPr>
          <w:rFonts w:hint="eastAsia" w:ascii="宋体" w:hAnsi="宋体" w:cs="宋体"/>
          <w:szCs w:val="21"/>
          <w:lang w:eastAsia="zh-CN"/>
        </w:rPr>
        <w:t>、</w:t>
      </w:r>
      <w:r>
        <w:rPr>
          <w:rFonts w:hint="eastAsia" w:ascii="宋体" w:hAnsi="宋体" w:cs="宋体"/>
          <w:szCs w:val="21"/>
        </w:rPr>
        <w:t>格式需变更，</w:t>
      </w:r>
      <w:r>
        <w:rPr>
          <w:rFonts w:hint="eastAsia" w:ascii="宋体" w:hAnsi="宋体" w:cs="宋体"/>
          <w:szCs w:val="21"/>
          <w:lang w:val="en-US" w:eastAsia="zh-CN"/>
        </w:rPr>
        <w:t>和</w:t>
      </w:r>
      <w:r>
        <w:rPr>
          <w:rFonts w:hint="eastAsia" w:ascii="宋体" w:hAnsi="宋体" w:cs="宋体"/>
          <w:szCs w:val="21"/>
        </w:rPr>
        <w:t>院方在实际工作中产生的需要系统更新的相关功能</w:t>
      </w:r>
      <w:r>
        <w:rPr>
          <w:rFonts w:hint="eastAsia" w:ascii="宋体" w:hAnsi="宋体" w:cs="宋体"/>
          <w:szCs w:val="21"/>
          <w:lang w:val="en-US" w:eastAsia="zh-CN"/>
        </w:rPr>
        <w:t>及各系统接口对接</w:t>
      </w:r>
      <w:r>
        <w:rPr>
          <w:rFonts w:hint="eastAsia" w:ascii="宋体" w:hAnsi="宋体" w:cs="宋体"/>
          <w:szCs w:val="21"/>
          <w:lang w:eastAsia="zh-CN"/>
        </w:rPr>
        <w:t>，</w:t>
      </w:r>
      <w:r>
        <w:rPr>
          <w:rFonts w:hint="eastAsia" w:ascii="宋体" w:hAnsi="宋体" w:cs="宋体"/>
          <w:szCs w:val="21"/>
        </w:rPr>
        <w:t>。</w:t>
      </w:r>
    </w:p>
    <w:p>
      <w:pPr>
        <w:spacing w:line="360" w:lineRule="auto"/>
        <w:rPr>
          <w:rFonts w:ascii="宋体" w:hAnsi="宋体"/>
          <w:szCs w:val="21"/>
        </w:rPr>
      </w:pPr>
      <w:r>
        <w:rPr>
          <w:rFonts w:hint="eastAsia" w:ascii="宋体" w:hAnsi="宋体" w:cs="宋体"/>
          <w:szCs w:val="21"/>
        </w:rPr>
        <w:t>（7）系统建设建议：系统在运行过程中，不定期地向院方提供科室软件建设建议方案。</w:t>
      </w:r>
    </w:p>
    <w:p>
      <w:pPr>
        <w:spacing w:line="360" w:lineRule="auto"/>
        <w:rPr>
          <w:rFonts w:ascii="宋体" w:hAnsi="宋体"/>
          <w:szCs w:val="21"/>
        </w:rPr>
      </w:pPr>
      <w:r>
        <w:rPr>
          <w:rFonts w:hint="eastAsia" w:ascii="宋体" w:hAnsi="宋体" w:cs="宋体"/>
          <w:szCs w:val="21"/>
        </w:rPr>
        <w:t>（8）客户回应承诺：</w:t>
      </w:r>
    </w:p>
    <w:p>
      <w:pPr>
        <w:spacing w:line="360" w:lineRule="auto"/>
        <w:rPr>
          <w:rFonts w:ascii="宋体" w:hAnsi="宋体"/>
          <w:szCs w:val="21"/>
        </w:rPr>
      </w:pPr>
      <w:r>
        <w:rPr>
          <w:rFonts w:hint="eastAsia" w:ascii="宋体" w:hAnsi="宋体" w:cs="宋体"/>
          <w:szCs w:val="21"/>
        </w:rPr>
        <w:t>在维护期内，如软件系统故障，需在接到通知后30分钟内予以响应，共同协商解决方案。</w:t>
      </w:r>
    </w:p>
    <w:p>
      <w:pPr>
        <w:spacing w:line="360" w:lineRule="auto"/>
        <w:rPr>
          <w:rFonts w:ascii="宋体" w:hAnsi="宋体"/>
          <w:szCs w:val="21"/>
        </w:rPr>
      </w:pPr>
      <w:r>
        <w:rPr>
          <w:rFonts w:hint="eastAsia" w:ascii="宋体" w:hAnsi="宋体" w:cs="宋体"/>
          <w:szCs w:val="21"/>
        </w:rPr>
        <w:t>若需要工程师前往现场，除约定到达时间外，一般要求在4小时到达院方指定现场。工程师在到达现场后，经现场调查后，除约定时间外，一般要求</w:t>
      </w:r>
      <w:r>
        <w:rPr>
          <w:rFonts w:ascii="宋体" w:hAnsi="宋体" w:cs="宋体"/>
          <w:szCs w:val="21"/>
        </w:rPr>
        <w:t>12</w:t>
      </w:r>
      <w:r>
        <w:rPr>
          <w:rFonts w:hint="eastAsia" w:ascii="宋体" w:hAnsi="宋体" w:cs="宋体"/>
          <w:szCs w:val="21"/>
        </w:rPr>
        <w:t>小时内排除故障。</w:t>
      </w:r>
    </w:p>
    <w:p>
      <w:pPr>
        <w:spacing w:line="360" w:lineRule="auto"/>
        <w:rPr>
          <w:rFonts w:ascii="宋体" w:hAnsi="宋体"/>
          <w:szCs w:val="21"/>
        </w:rPr>
      </w:pPr>
      <w:r>
        <w:rPr>
          <w:rFonts w:hint="eastAsia" w:ascii="宋体" w:hAnsi="宋体" w:cs="宋体"/>
          <w:szCs w:val="21"/>
        </w:rPr>
        <w:t>如院方因需求修改要求工程师现场维护的，应在24小时内予以回应，给出具体解决方案和时间表，经院方批准后，遵照方案、时间表及本合同约定执行。</w:t>
      </w:r>
    </w:p>
    <w:p>
      <w:pPr>
        <w:spacing w:line="360" w:lineRule="auto"/>
        <w:rPr>
          <w:rFonts w:ascii="宋体" w:hAnsi="宋体"/>
          <w:szCs w:val="21"/>
        </w:rPr>
      </w:pPr>
      <w:r>
        <w:rPr>
          <w:rFonts w:hint="eastAsia" w:ascii="宋体" w:hAnsi="宋体" w:cs="宋体"/>
          <w:szCs w:val="21"/>
        </w:rPr>
        <w:t>（9）文档管理：提供和完善相关服务工作文档（软件更新的内容说明和常见问题的解决方法说明）。</w:t>
      </w:r>
    </w:p>
    <w:p>
      <w:pPr>
        <w:spacing w:before="156" w:beforeLines="50" w:after="156" w:afterLines="50" w:line="360" w:lineRule="auto"/>
        <w:outlineLvl w:val="0"/>
        <w:rPr>
          <w:rFonts w:ascii="宋体" w:hAnsi="宋体"/>
          <w:b/>
          <w:sz w:val="24"/>
        </w:rPr>
      </w:pPr>
      <w:r>
        <w:rPr>
          <w:rFonts w:hint="eastAsia" w:ascii="宋体" w:hAnsi="宋体"/>
          <w:b/>
          <w:sz w:val="24"/>
        </w:rPr>
        <w:t xml:space="preserve">四、采购项目商务要求 </w:t>
      </w:r>
    </w:p>
    <w:p>
      <w:pPr>
        <w:spacing w:line="360" w:lineRule="auto"/>
        <w:ind w:left="315" w:hanging="315" w:hangingChars="150"/>
        <w:rPr>
          <w:rFonts w:ascii="宋体" w:hAnsi="宋体"/>
          <w:szCs w:val="21"/>
        </w:rPr>
      </w:pPr>
      <w:r>
        <w:rPr>
          <w:rFonts w:hint="eastAsia" w:ascii="宋体" w:hAnsi="宋体"/>
          <w:szCs w:val="21"/>
        </w:rPr>
        <w:t xml:space="preserve">1. 服务地点：采购人（用户）所在地。  </w:t>
      </w:r>
    </w:p>
    <w:p>
      <w:pPr>
        <w:spacing w:line="360" w:lineRule="auto"/>
        <w:rPr>
          <w:rFonts w:ascii="宋体" w:hAnsi="宋体"/>
          <w:szCs w:val="21"/>
        </w:rPr>
      </w:pPr>
      <w:r>
        <w:rPr>
          <w:rFonts w:hint="eastAsia" w:ascii="宋体" w:hAnsi="宋体"/>
          <w:szCs w:val="21"/>
        </w:rPr>
        <w:t>2. 维护期限：自合同签订之日起一年。</w:t>
      </w:r>
    </w:p>
    <w:p>
      <w:pPr>
        <w:spacing w:line="360" w:lineRule="auto"/>
        <w:rPr>
          <w:rFonts w:ascii="宋体" w:hAnsi="宋体"/>
          <w:szCs w:val="21"/>
        </w:rPr>
      </w:pPr>
      <w:r>
        <w:rPr>
          <w:rFonts w:ascii="宋体" w:hAnsi="宋体"/>
          <w:szCs w:val="21"/>
        </w:rPr>
        <w:t>3</w:t>
      </w:r>
      <w:r>
        <w:rPr>
          <w:rFonts w:hint="eastAsia" w:ascii="宋体" w:hAnsi="宋体"/>
          <w:szCs w:val="21"/>
        </w:rPr>
        <w:t xml:space="preserve"> 付款方式： </w:t>
      </w:r>
    </w:p>
    <w:p>
      <w:pPr>
        <w:spacing w:line="360" w:lineRule="auto"/>
        <w:ind w:firstLine="420" w:firstLineChars="200"/>
        <w:rPr>
          <w:rFonts w:ascii="宋体" w:hAnsi="宋体"/>
          <w:szCs w:val="21"/>
        </w:rPr>
      </w:pPr>
      <w:r>
        <w:rPr>
          <w:rFonts w:ascii="宋体" w:hAnsi="宋体"/>
          <w:szCs w:val="21"/>
        </w:rPr>
        <w:t>服务期满12个月，</w:t>
      </w:r>
      <w:r>
        <w:rPr>
          <w:rFonts w:hint="eastAsia" w:ascii="宋体" w:hAnsi="宋体"/>
          <w:szCs w:val="21"/>
          <w:lang w:val="en-US" w:eastAsia="zh-CN"/>
        </w:rPr>
        <w:t>考核合格，</w:t>
      </w:r>
      <w:r>
        <w:rPr>
          <w:rFonts w:ascii="宋体" w:hAnsi="宋体"/>
          <w:szCs w:val="21"/>
        </w:rPr>
        <w:t>达到支付条件后，</w:t>
      </w:r>
      <w:r>
        <w:rPr>
          <w:rFonts w:hint="eastAsia" w:ascii="宋体" w:hAnsi="宋体"/>
          <w:szCs w:val="21"/>
          <w:lang w:val="en-US" w:eastAsia="zh-CN"/>
        </w:rPr>
        <w:t>甲方根据乙方提供的有效全额发票，向乙方一次性支付全部金额。</w:t>
      </w:r>
    </w:p>
    <w:p>
      <w:pPr>
        <w:widowControl/>
        <w:jc w:val="left"/>
        <w:rPr>
          <w:rFonts w:hint="default" w:ascii="宋体" w:hAnsi="宋体" w:eastAsia="宋体"/>
          <w:szCs w:val="21"/>
          <w:lang w:val="en-US" w:eastAsia="zh-CN"/>
        </w:rPr>
      </w:pPr>
      <w:r>
        <w:rPr>
          <w:rFonts w:hint="eastAsia" w:ascii="宋体" w:hAnsi="宋体"/>
          <w:szCs w:val="21"/>
          <w:lang w:val="en-US" w:eastAsia="zh-CN"/>
        </w:rPr>
        <w:t>4.投标人必须全部满足第三项项目基本要求内容。</w:t>
      </w:r>
    </w:p>
    <w:p>
      <w:pPr>
        <w:rPr>
          <w:rFonts w:ascii="宋体" w:hAnsi="宋体"/>
        </w:rPr>
      </w:pPr>
      <w:bookmarkStart w:id="1" w:name="_GoBack"/>
      <w:bookmarkEnd w:id="1"/>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NDU0NzY5YTc2YzQ1YTA4MjQ0OTVlMmQ3OGRiOTkifQ=="/>
  </w:docVars>
  <w:rsids>
    <w:rsidRoot w:val="00B77BF8"/>
    <w:rsid w:val="000620F2"/>
    <w:rsid w:val="00092B6A"/>
    <w:rsid w:val="000B35EF"/>
    <w:rsid w:val="00180C46"/>
    <w:rsid w:val="001812F4"/>
    <w:rsid w:val="0021558A"/>
    <w:rsid w:val="00234EBB"/>
    <w:rsid w:val="00285A5B"/>
    <w:rsid w:val="002F60C3"/>
    <w:rsid w:val="0038198B"/>
    <w:rsid w:val="00545ECC"/>
    <w:rsid w:val="005525D4"/>
    <w:rsid w:val="005619D1"/>
    <w:rsid w:val="00655955"/>
    <w:rsid w:val="008516D1"/>
    <w:rsid w:val="008C0777"/>
    <w:rsid w:val="008F2BD5"/>
    <w:rsid w:val="009919B3"/>
    <w:rsid w:val="00A54255"/>
    <w:rsid w:val="00B759D6"/>
    <w:rsid w:val="00B77BF8"/>
    <w:rsid w:val="00BB5B46"/>
    <w:rsid w:val="00BF4A85"/>
    <w:rsid w:val="00C63C84"/>
    <w:rsid w:val="00C9214E"/>
    <w:rsid w:val="00CA2307"/>
    <w:rsid w:val="00D305AB"/>
    <w:rsid w:val="00DB00E0"/>
    <w:rsid w:val="00E562BD"/>
    <w:rsid w:val="00EF6BC6"/>
    <w:rsid w:val="00F21EFC"/>
    <w:rsid w:val="00FB6C1B"/>
    <w:rsid w:val="0256449F"/>
    <w:rsid w:val="143771ED"/>
    <w:rsid w:val="2AA219E9"/>
    <w:rsid w:val="2C5E7097"/>
    <w:rsid w:val="39241D5A"/>
    <w:rsid w:val="4D663A03"/>
    <w:rsid w:val="608603B2"/>
    <w:rsid w:val="610712C2"/>
    <w:rsid w:val="686F7E78"/>
    <w:rsid w:val="6FB53549"/>
    <w:rsid w:val="7689752E"/>
    <w:rsid w:val="7A2F79C3"/>
    <w:rsid w:val="7F761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ind w:left="562"/>
    </w:pPr>
    <w:rPr>
      <w:rFonts w:hint="eastAsia" w:ascii="宋体" w:cs="宋体"/>
      <w:sz w:val="17"/>
      <w:szCs w:val="17"/>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link w:val="13"/>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lang w:val="zh-CN"/>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标题1"/>
    <w:basedOn w:val="1"/>
    <w:qFormat/>
    <w:uiPriority w:val="0"/>
    <w:pPr>
      <w:widowControl/>
      <w:spacing w:line="360" w:lineRule="auto"/>
      <w:jc w:val="center"/>
    </w:pPr>
    <w:rPr>
      <w:rFonts w:ascii="黑体" w:eastAsia="黑体"/>
      <w:b/>
      <w:kern w:val="0"/>
      <w:sz w:val="44"/>
      <w:szCs w:val="20"/>
    </w:rPr>
  </w:style>
  <w:style w:type="paragraph" w:customStyle="1" w:styleId="12">
    <w:name w:val="列出段落1"/>
    <w:basedOn w:val="1"/>
    <w:qFormat/>
    <w:uiPriority w:val="0"/>
    <w:pPr>
      <w:widowControl/>
      <w:ind w:firstLine="420"/>
    </w:pPr>
    <w:rPr>
      <w:rFonts w:ascii="Calibri" w:hAnsi="Calibri" w:cs="Calibri"/>
      <w:kern w:val="0"/>
      <w:szCs w:val="21"/>
    </w:rPr>
  </w:style>
  <w:style w:type="character" w:customStyle="1" w:styleId="13">
    <w:name w:val="标题 字符"/>
    <w:basedOn w:val="7"/>
    <w:link w:val="5"/>
    <w:qFormat/>
    <w:uiPriority w:val="0"/>
    <w:rPr>
      <w:rFonts w:ascii="Arial" w:hAnsi="Arial" w:eastAsia="宋体" w:cs="Times New Roman"/>
      <w:b/>
      <w:kern w:val="0"/>
      <w:sz w:val="36"/>
      <w:szCs w:val="20"/>
      <w:lang w:val="zh-CN" w:eastAsia="zh-CN"/>
    </w:rPr>
  </w:style>
  <w:style w:type="paragraph" w:customStyle="1" w:styleId="14">
    <w:name w:val="Table Paragraph"/>
    <w:basedOn w:val="1"/>
    <w:unhideWhenUsed/>
    <w:qFormat/>
    <w:uiPriority w:val="1"/>
    <w:rPr>
      <w:rFonts w:hint="eastAsia"/>
      <w:sz w:val="24"/>
    </w:rPr>
  </w:style>
  <w:style w:type="paragraph" w:styleId="15">
    <w:name w:val="List Paragraph"/>
    <w:basedOn w:val="1"/>
    <w:unhideWhenUsed/>
    <w:qFormat/>
    <w:uiPriority w:val="99"/>
    <w:pPr>
      <w:ind w:firstLine="420" w:firstLineChars="200"/>
    </w:pPr>
  </w:style>
  <w:style w:type="paragraph" w:customStyle="1" w:styleId="16">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BCE860F1-8E95-4554-B76B-0819EA281204}">
  <ds:schemaRefs/>
</ds:datastoreItem>
</file>

<file path=customXml/itemProps2.xml><?xml version="1.0" encoding="utf-8"?>
<ds:datastoreItem xmlns:ds="http://schemas.openxmlformats.org/officeDocument/2006/customXml" ds:itemID="{4654A1DF-9242-423F-979C-CBDDA2B6AC71}">
  <ds:schemaRefs/>
</ds:datastoreItem>
</file>

<file path=docProps/app.xml><?xml version="1.0" encoding="utf-8"?>
<Properties xmlns="http://schemas.openxmlformats.org/officeDocument/2006/extended-properties" xmlns:vt="http://schemas.openxmlformats.org/officeDocument/2006/docPropsVTypes">
  <Template>Normal</Template>
  <Pages>4</Pages>
  <Words>1960</Words>
  <Characters>1999</Characters>
  <Lines>16</Lines>
  <Paragraphs>4</Paragraphs>
  <TotalTime>21</TotalTime>
  <ScaleCrop>false</ScaleCrop>
  <LinksUpToDate>false</LinksUpToDate>
  <CharactersWithSpaces>2007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2023-07-26T03:10:00Z</dcterms:created>
  <dc:creator>MAXHUB</dc:creator>
  <cp:lastModifiedBy>MAXHUB</cp:lastModifiedBy>
  <cp:lastPrinted>2023-07-25T02:27:00Z</cp:lastPrinted>
  <dcterms:modified xsi:type="dcterms:W3CDTF">2023-07-26T13:44:35Z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7B034BA96FAD4D9A8F1D9918E18E3C7A_12</vt:lpwstr>
  </property>
</Properties>
</file>