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default"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海南医科大学第二附属医院</w:t>
      </w:r>
    </w:p>
    <w:p w14:paraId="3238B8BA">
      <w:pPr>
        <w:pStyle w:val="3"/>
        <w:keepNext w:val="0"/>
        <w:keepLines w:val="0"/>
        <w:pageBreakBefore w:val="0"/>
        <w:widowControl w:val="0"/>
        <w:suppressLineNumbers w:val="0"/>
        <w:wordWrap/>
        <w:overflowPunct/>
        <w:topLinePunct w:val="0"/>
        <w:bidi w:val="0"/>
        <w:spacing w:before="0" w:after="0" w:line="360" w:lineRule="auto"/>
        <w:ind w:left="0" w:leftChars="0" w:right="0" w:firstLine="643" w:firstLineChars="200"/>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自助机</w:t>
      </w:r>
      <w:r>
        <w:rPr>
          <w:rFonts w:hint="eastAsia" w:ascii="宋体" w:hAnsi="宋体" w:cs="宋体"/>
          <w:b/>
          <w:bCs/>
          <w:color w:val="auto"/>
          <w:kern w:val="0"/>
          <w:sz w:val="32"/>
          <w:szCs w:val="32"/>
          <w:lang w:val="en-US" w:eastAsia="zh-CN"/>
        </w:rPr>
        <w:t>相关</w:t>
      </w:r>
      <w:r>
        <w:rPr>
          <w:rFonts w:hint="eastAsia" w:ascii="宋体" w:hAnsi="宋体" w:eastAsia="宋体" w:cs="宋体"/>
          <w:b/>
          <w:bCs/>
          <w:color w:val="auto"/>
          <w:kern w:val="0"/>
          <w:sz w:val="32"/>
          <w:szCs w:val="32"/>
          <w:lang w:val="en-US" w:eastAsia="zh-CN"/>
        </w:rPr>
        <w:t>软硬件</w:t>
      </w:r>
      <w:r>
        <w:rPr>
          <w:rFonts w:hint="eastAsia" w:ascii="宋体" w:hAnsi="宋体" w:cs="宋体"/>
          <w:b/>
          <w:bCs/>
          <w:color w:val="auto"/>
          <w:kern w:val="0"/>
          <w:sz w:val="32"/>
          <w:szCs w:val="32"/>
          <w:lang w:val="en-US" w:eastAsia="zh-CN"/>
        </w:rPr>
        <w:t>维保</w:t>
      </w:r>
      <w:r>
        <w:rPr>
          <w:rFonts w:hint="eastAsia" w:ascii="宋体" w:hAnsi="宋体" w:eastAsia="宋体" w:cs="宋体"/>
          <w:b/>
          <w:bCs/>
          <w:color w:val="auto"/>
          <w:kern w:val="0"/>
          <w:sz w:val="32"/>
          <w:szCs w:val="32"/>
        </w:rPr>
        <w:t>服务</w:t>
      </w:r>
      <w:r>
        <w:rPr>
          <w:rFonts w:hint="eastAsia" w:ascii="宋体" w:hAnsi="宋体" w:eastAsia="宋体" w:cs="宋体"/>
          <w:b/>
          <w:bCs/>
          <w:color w:val="auto"/>
          <w:kern w:val="0"/>
          <w:sz w:val="32"/>
          <w:szCs w:val="32"/>
          <w:lang w:val="en-US" w:eastAsia="zh-CN"/>
        </w:rPr>
        <w:t>需求书</w:t>
      </w:r>
    </w:p>
    <w:p w14:paraId="477C6ED7">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color w:val="auto"/>
          <w:sz w:val="24"/>
          <w:szCs w:val="24"/>
          <w:lang w:val="en-US" w:eastAsia="zh-CN"/>
        </w:rPr>
      </w:pPr>
      <w:r>
        <w:rPr>
          <w:rFonts w:hint="eastAsia" w:asciiTheme="minorHAnsi" w:hAnsiTheme="minorHAnsi" w:eastAsiaTheme="minorEastAsia" w:cstheme="minorBidi"/>
          <w:b/>
          <w:color w:val="auto"/>
          <w:sz w:val="24"/>
          <w:szCs w:val="24"/>
          <w:lang w:val="en-US" w:eastAsia="zh-CN"/>
        </w:rPr>
        <w:t>一、项目需求</w:t>
      </w:r>
    </w:p>
    <w:p w14:paraId="5630AD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1.本项目报价应包括：维护期内系统的养护、检测、系统客户化需求改造、故障排除、数据库及软件服务巡检、技术支持、各系统接口对接等工作所需费用、税费等在内的</w:t>
      </w:r>
      <w:r>
        <w:rPr>
          <w:rFonts w:hint="eastAsia" w:ascii="宋体" w:hAnsi="宋体" w:cs="宋体"/>
          <w:snapToGrid/>
          <w:color w:val="auto"/>
          <w:kern w:val="0"/>
          <w:sz w:val="24"/>
          <w:szCs w:val="24"/>
          <w:lang w:val="en-US" w:eastAsia="zh-CN" w:bidi="ar"/>
        </w:rPr>
        <w:t>全部</w:t>
      </w:r>
      <w:r>
        <w:rPr>
          <w:rFonts w:hint="eastAsia" w:ascii="宋体" w:hAnsi="宋体" w:eastAsia="宋体" w:cs="宋体"/>
          <w:snapToGrid/>
          <w:color w:val="auto"/>
          <w:kern w:val="0"/>
          <w:sz w:val="24"/>
          <w:szCs w:val="24"/>
          <w:lang w:val="en-US" w:eastAsia="zh-CN" w:bidi="ar"/>
        </w:rPr>
        <w:t>费用。</w:t>
      </w:r>
    </w:p>
    <w:p w14:paraId="1BE8D6D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2.成交报价人不得以任何方式转包或分包本项目。</w:t>
      </w:r>
    </w:p>
    <w:p w14:paraId="095F9D1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3.本次采购的系统维护期限为</w:t>
      </w:r>
      <w:r>
        <w:rPr>
          <w:rFonts w:hint="eastAsia" w:ascii="宋体" w:hAnsi="宋体" w:cs="宋体"/>
          <w:snapToGrid/>
          <w:color w:val="auto"/>
          <w:kern w:val="0"/>
          <w:sz w:val="24"/>
          <w:szCs w:val="24"/>
          <w:lang w:val="en-US" w:eastAsia="zh-CN" w:bidi="ar"/>
        </w:rPr>
        <w:t>二</w:t>
      </w:r>
      <w:r>
        <w:rPr>
          <w:rFonts w:hint="eastAsia" w:ascii="宋体" w:hAnsi="宋体" w:eastAsia="宋体" w:cs="宋体"/>
          <w:snapToGrid/>
          <w:color w:val="auto"/>
          <w:kern w:val="0"/>
          <w:sz w:val="24"/>
          <w:szCs w:val="24"/>
          <w:lang w:val="en-US" w:eastAsia="zh-CN" w:bidi="ar"/>
        </w:rPr>
        <w:t>年，维护价格为实际中标价格。</w:t>
      </w:r>
    </w:p>
    <w:p w14:paraId="710F6CF0">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color w:val="auto"/>
          <w:sz w:val="24"/>
          <w:szCs w:val="24"/>
          <w:lang w:val="en-US" w:eastAsia="zh-CN"/>
        </w:rPr>
      </w:pPr>
      <w:r>
        <w:rPr>
          <w:rFonts w:hint="eastAsia" w:asciiTheme="minorHAnsi" w:hAnsiTheme="minorHAnsi" w:eastAsiaTheme="minorEastAsia" w:cstheme="minorBidi"/>
          <w:b/>
          <w:color w:val="auto"/>
          <w:sz w:val="24"/>
          <w:szCs w:val="24"/>
          <w:lang w:val="en-US" w:eastAsia="zh-CN"/>
        </w:rPr>
        <w:t>二、采购清单</w:t>
      </w:r>
    </w:p>
    <w:tbl>
      <w:tblPr>
        <w:tblStyle w:val="6"/>
        <w:tblW w:w="845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368"/>
        <w:gridCol w:w="704"/>
        <w:gridCol w:w="1904"/>
        <w:gridCol w:w="2511"/>
      </w:tblGrid>
      <w:tr w14:paraId="36BC4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63" w:type="dxa"/>
            <w:shd w:val="clear" w:color="auto" w:fill="E0E0E0"/>
            <w:noWrap w:val="0"/>
            <w:vAlign w:val="center"/>
          </w:tcPr>
          <w:p w14:paraId="17550CB1">
            <w:pPr>
              <w:spacing w:line="360" w:lineRule="auto"/>
              <w:jc w:val="center"/>
              <w:rPr>
                <w:rFonts w:ascii="宋体" w:hAnsi="宋体"/>
                <w:b/>
                <w:bCs/>
                <w:color w:val="auto"/>
                <w:szCs w:val="21"/>
              </w:rPr>
            </w:pPr>
            <w:r>
              <w:rPr>
                <w:rFonts w:hint="eastAsia" w:ascii="宋体" w:hAnsi="宋体"/>
                <w:b/>
                <w:bCs/>
                <w:color w:val="auto"/>
                <w:szCs w:val="21"/>
              </w:rPr>
              <w:t>序号</w:t>
            </w:r>
          </w:p>
        </w:tc>
        <w:tc>
          <w:tcPr>
            <w:tcW w:w="2368" w:type="dxa"/>
            <w:shd w:val="clear" w:color="auto" w:fill="E0E0E0"/>
            <w:noWrap w:val="0"/>
            <w:vAlign w:val="center"/>
          </w:tcPr>
          <w:p w14:paraId="70A88B9E">
            <w:pPr>
              <w:spacing w:line="360" w:lineRule="auto"/>
              <w:jc w:val="center"/>
              <w:rPr>
                <w:rFonts w:ascii="宋体" w:hAnsi="宋体"/>
                <w:b/>
                <w:bCs/>
                <w:color w:val="auto"/>
                <w:szCs w:val="21"/>
              </w:rPr>
            </w:pPr>
            <w:r>
              <w:rPr>
                <w:rFonts w:hint="eastAsia" w:ascii="宋体" w:hAnsi="宋体"/>
                <w:b/>
                <w:bCs/>
                <w:color w:val="auto"/>
                <w:szCs w:val="21"/>
              </w:rPr>
              <w:t>名称</w:t>
            </w:r>
          </w:p>
        </w:tc>
        <w:tc>
          <w:tcPr>
            <w:tcW w:w="704" w:type="dxa"/>
            <w:tcBorders>
              <w:right w:val="single" w:color="auto" w:sz="4" w:space="0"/>
            </w:tcBorders>
            <w:shd w:val="clear" w:color="auto" w:fill="E0E0E0"/>
            <w:noWrap w:val="0"/>
            <w:vAlign w:val="center"/>
          </w:tcPr>
          <w:p w14:paraId="535BE215">
            <w:pPr>
              <w:spacing w:line="360" w:lineRule="auto"/>
              <w:jc w:val="center"/>
              <w:rPr>
                <w:rFonts w:ascii="宋体" w:hAnsi="宋体"/>
                <w:b/>
                <w:bCs/>
                <w:color w:val="auto"/>
                <w:szCs w:val="21"/>
              </w:rPr>
            </w:pPr>
            <w:r>
              <w:rPr>
                <w:rFonts w:hint="eastAsia" w:ascii="宋体" w:hAnsi="宋体"/>
                <w:b/>
                <w:bCs/>
                <w:color w:val="auto"/>
                <w:szCs w:val="21"/>
              </w:rPr>
              <w:t>数量</w:t>
            </w:r>
          </w:p>
        </w:tc>
        <w:tc>
          <w:tcPr>
            <w:tcW w:w="1904" w:type="dxa"/>
            <w:tcBorders>
              <w:left w:val="single" w:color="auto" w:sz="4" w:space="0"/>
              <w:right w:val="single" w:color="auto" w:sz="4" w:space="0"/>
            </w:tcBorders>
            <w:shd w:val="clear" w:color="auto" w:fill="E0E0E0"/>
            <w:noWrap w:val="0"/>
            <w:vAlign w:val="center"/>
          </w:tcPr>
          <w:p w14:paraId="26953949">
            <w:pPr>
              <w:spacing w:line="360" w:lineRule="auto"/>
              <w:jc w:val="center"/>
              <w:rPr>
                <w:rFonts w:hint="eastAsia" w:ascii="宋体" w:hAnsi="宋体" w:eastAsia="宋体"/>
                <w:b/>
                <w:bCs/>
                <w:color w:val="auto"/>
                <w:szCs w:val="21"/>
                <w:lang w:val="en-US" w:eastAsia="zh-CN"/>
              </w:rPr>
            </w:pPr>
            <w:r>
              <w:rPr>
                <w:rFonts w:hint="eastAsia" w:ascii="宋体" w:hAnsi="宋体"/>
                <w:b/>
                <w:bCs/>
                <w:color w:val="auto"/>
                <w:szCs w:val="21"/>
                <w:lang w:val="en-US" w:eastAsia="zh-CN"/>
              </w:rPr>
              <w:t>单位</w:t>
            </w:r>
          </w:p>
        </w:tc>
        <w:tc>
          <w:tcPr>
            <w:tcW w:w="2511" w:type="dxa"/>
            <w:tcBorders>
              <w:left w:val="single" w:color="auto" w:sz="4" w:space="0"/>
            </w:tcBorders>
            <w:shd w:val="clear" w:color="auto" w:fill="E0E0E0"/>
            <w:noWrap w:val="0"/>
            <w:vAlign w:val="center"/>
          </w:tcPr>
          <w:p w14:paraId="492779B7">
            <w:pPr>
              <w:spacing w:line="360" w:lineRule="auto"/>
              <w:jc w:val="center"/>
              <w:rPr>
                <w:rFonts w:ascii="宋体" w:hAnsi="宋体"/>
                <w:b/>
                <w:bCs/>
                <w:color w:val="auto"/>
                <w:szCs w:val="21"/>
              </w:rPr>
            </w:pPr>
            <w:r>
              <w:rPr>
                <w:rFonts w:hint="eastAsia" w:ascii="宋体" w:hAnsi="宋体"/>
                <w:b/>
                <w:bCs/>
                <w:color w:val="auto"/>
                <w:szCs w:val="21"/>
              </w:rPr>
              <w:t>备注</w:t>
            </w:r>
          </w:p>
        </w:tc>
      </w:tr>
      <w:tr w14:paraId="4A23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63" w:type="dxa"/>
            <w:noWrap w:val="0"/>
            <w:vAlign w:val="center"/>
          </w:tcPr>
          <w:p w14:paraId="6A99BA7C">
            <w:pPr>
              <w:spacing w:line="360" w:lineRule="auto"/>
              <w:jc w:val="center"/>
              <w:rPr>
                <w:rFonts w:ascii="宋体" w:hAnsi="宋体"/>
                <w:color w:val="auto"/>
                <w:szCs w:val="21"/>
              </w:rPr>
            </w:pPr>
            <w:r>
              <w:rPr>
                <w:rFonts w:hint="eastAsia" w:ascii="宋体" w:hAnsi="宋体"/>
                <w:color w:val="auto"/>
                <w:szCs w:val="21"/>
              </w:rPr>
              <w:t>1</w:t>
            </w:r>
          </w:p>
        </w:tc>
        <w:tc>
          <w:tcPr>
            <w:tcW w:w="2368" w:type="dxa"/>
            <w:noWrap w:val="0"/>
            <w:vAlign w:val="center"/>
          </w:tcPr>
          <w:p w14:paraId="00CCEE56">
            <w:pPr>
              <w:bidi w:val="0"/>
              <w:rPr>
                <w:rFonts w:hint="default" w:ascii="宋体" w:hAnsi="宋体"/>
                <w:color w:val="auto"/>
                <w:szCs w:val="21"/>
                <w:lang w:val="en-US"/>
              </w:rPr>
            </w:pPr>
            <w:r>
              <w:rPr>
                <w:rFonts w:hint="eastAsia"/>
                <w:color w:val="auto"/>
                <w:lang w:val="en-US" w:eastAsia="zh-CN"/>
              </w:rPr>
              <w:t>自助机相关软硬件维保服务</w:t>
            </w:r>
          </w:p>
        </w:tc>
        <w:tc>
          <w:tcPr>
            <w:tcW w:w="704" w:type="dxa"/>
            <w:tcBorders>
              <w:right w:val="single" w:color="auto" w:sz="4" w:space="0"/>
            </w:tcBorders>
            <w:noWrap w:val="0"/>
            <w:vAlign w:val="center"/>
          </w:tcPr>
          <w:p w14:paraId="551CB3BB">
            <w:pPr>
              <w:spacing w:line="360" w:lineRule="auto"/>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1</w:t>
            </w:r>
          </w:p>
        </w:tc>
        <w:tc>
          <w:tcPr>
            <w:tcW w:w="1904" w:type="dxa"/>
            <w:tcBorders>
              <w:left w:val="single" w:color="auto" w:sz="4" w:space="0"/>
              <w:right w:val="single" w:color="auto" w:sz="4" w:space="0"/>
            </w:tcBorders>
            <w:noWrap w:val="0"/>
            <w:vAlign w:val="center"/>
          </w:tcPr>
          <w:p w14:paraId="1B360063">
            <w:pPr>
              <w:spacing w:line="360" w:lineRule="auto"/>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2年</w:t>
            </w:r>
          </w:p>
        </w:tc>
        <w:tc>
          <w:tcPr>
            <w:tcW w:w="2511" w:type="dxa"/>
            <w:tcBorders>
              <w:left w:val="single" w:color="auto" w:sz="4" w:space="0"/>
            </w:tcBorders>
            <w:noWrap w:val="0"/>
            <w:vAlign w:val="center"/>
          </w:tcPr>
          <w:p w14:paraId="0331ADD4">
            <w:pPr>
              <w:spacing w:line="360" w:lineRule="auto"/>
              <w:jc w:val="center"/>
              <w:rPr>
                <w:rFonts w:ascii="宋体" w:hAnsi="宋体"/>
                <w:color w:val="auto"/>
                <w:szCs w:val="21"/>
              </w:rPr>
            </w:pPr>
          </w:p>
        </w:tc>
      </w:tr>
    </w:tbl>
    <w:p w14:paraId="60E01A2E">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color w:val="auto"/>
          <w:sz w:val="24"/>
          <w:szCs w:val="24"/>
          <w:lang w:val="en-US" w:eastAsia="zh-CN"/>
        </w:rPr>
      </w:pPr>
      <w:r>
        <w:rPr>
          <w:rFonts w:hint="eastAsia" w:asciiTheme="minorHAnsi" w:hAnsiTheme="minorHAnsi" w:eastAsiaTheme="minorEastAsia" w:cstheme="minorBidi"/>
          <w:b/>
          <w:color w:val="auto"/>
          <w:sz w:val="24"/>
          <w:szCs w:val="24"/>
          <w:lang w:val="en-US" w:eastAsia="zh-CN"/>
        </w:rPr>
        <w:t>三、项目基本要求</w:t>
      </w:r>
    </w:p>
    <w:p w14:paraId="74D7E7E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1.服务要求：</w:t>
      </w:r>
    </w:p>
    <w:p w14:paraId="21E6BFF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Times New Roman" w:hAnsi="Times New Roman" w:eastAsia="宋体" w:cs="Times New Roman"/>
          <w:snapToGrid/>
          <w:color w:val="auto"/>
          <w:kern w:val="0"/>
          <w:sz w:val="24"/>
          <w:szCs w:val="24"/>
          <w:lang w:val="en-US" w:eastAsia="zh-CN" w:bidi="ar"/>
        </w:rPr>
      </w:pPr>
      <w:r>
        <w:rPr>
          <w:rFonts w:hint="eastAsia" w:ascii="Times New Roman" w:hAnsi="Times New Roman" w:eastAsia="宋体" w:cs="Times New Roman"/>
          <w:snapToGrid/>
          <w:color w:val="auto"/>
          <w:kern w:val="0"/>
          <w:sz w:val="24"/>
          <w:szCs w:val="24"/>
          <w:lang w:val="en-US" w:eastAsia="zh-CN" w:bidi="ar"/>
        </w:rPr>
        <w:t>维保范围及内容：</w:t>
      </w:r>
    </w:p>
    <w:tbl>
      <w:tblPr>
        <w:tblStyle w:val="7"/>
        <w:tblW w:w="874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490"/>
        <w:gridCol w:w="1275"/>
        <w:gridCol w:w="1054"/>
        <w:gridCol w:w="386"/>
        <w:gridCol w:w="704"/>
        <w:gridCol w:w="911"/>
        <w:gridCol w:w="1124"/>
        <w:gridCol w:w="965"/>
        <w:gridCol w:w="1814"/>
        <w:gridCol w:w="5"/>
      </w:tblGrid>
      <w:tr w14:paraId="5979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5" w:type="dxa"/>
          <w:trHeight w:val="430" w:hRule="atLeast"/>
        </w:trPr>
        <w:tc>
          <w:tcPr>
            <w:tcW w:w="8723" w:type="dxa"/>
            <w:gridSpan w:val="9"/>
          </w:tcPr>
          <w:p w14:paraId="19AF9553">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bCs/>
                <w:color w:val="auto"/>
                <w:szCs w:val="21"/>
              </w:rPr>
              <w:t>软件部分：</w:t>
            </w:r>
          </w:p>
        </w:tc>
      </w:tr>
      <w:tr w14:paraId="09B2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5" w:type="dxa"/>
          <w:trHeight w:val="430" w:hRule="atLeast"/>
        </w:trPr>
        <w:tc>
          <w:tcPr>
            <w:tcW w:w="3205" w:type="dxa"/>
            <w:gridSpan w:val="4"/>
          </w:tcPr>
          <w:p w14:paraId="6A5C1939">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产品名称</w:t>
            </w:r>
          </w:p>
        </w:tc>
        <w:tc>
          <w:tcPr>
            <w:tcW w:w="704" w:type="dxa"/>
          </w:tcPr>
          <w:p w14:paraId="18736F86">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数量</w:t>
            </w:r>
          </w:p>
        </w:tc>
        <w:tc>
          <w:tcPr>
            <w:tcW w:w="911" w:type="dxa"/>
          </w:tcPr>
          <w:p w14:paraId="5EA11AA8">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单位</w:t>
            </w:r>
          </w:p>
        </w:tc>
        <w:tc>
          <w:tcPr>
            <w:tcW w:w="3903" w:type="dxa"/>
            <w:gridSpan w:val="3"/>
          </w:tcPr>
          <w:p w14:paraId="7883AAC2">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软件系统功能</w:t>
            </w:r>
          </w:p>
        </w:tc>
      </w:tr>
      <w:tr w14:paraId="6FF5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dxa"/>
          <w:wAfter w:w="5" w:type="dxa"/>
          <w:trHeight w:val="454" w:hRule="atLeast"/>
        </w:trPr>
        <w:tc>
          <w:tcPr>
            <w:tcW w:w="3205" w:type="dxa"/>
            <w:gridSpan w:val="4"/>
          </w:tcPr>
          <w:p w14:paraId="5EE1D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自助机相关软件维保</w:t>
            </w:r>
          </w:p>
        </w:tc>
        <w:tc>
          <w:tcPr>
            <w:tcW w:w="704" w:type="dxa"/>
          </w:tcPr>
          <w:p w14:paraId="61F6A811">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w:t>
            </w:r>
          </w:p>
        </w:tc>
        <w:tc>
          <w:tcPr>
            <w:tcW w:w="911" w:type="dxa"/>
          </w:tcPr>
          <w:p w14:paraId="354456C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套</w:t>
            </w:r>
          </w:p>
        </w:tc>
        <w:tc>
          <w:tcPr>
            <w:tcW w:w="3903" w:type="dxa"/>
            <w:gridSpan w:val="3"/>
          </w:tcPr>
          <w:p w14:paraId="00287B1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宋体" w:hAnsi="宋体" w:eastAsia="宋体" w:cs="宋体"/>
                <w:color w:val="auto"/>
                <w:sz w:val="21"/>
                <w:szCs w:val="21"/>
              </w:rPr>
              <w:t>医院自助服务系统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医保系统对接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电子健康码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人脸识别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MISPOS收银系统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扫码支付模块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设备管理平台</w:t>
            </w:r>
            <w:r>
              <w:rPr>
                <w:rFonts w:hint="eastAsia" w:ascii="宋体" w:hAnsi="宋体" w:eastAsia="宋体" w:cs="宋体"/>
                <w:color w:val="auto"/>
                <w:sz w:val="21"/>
                <w:szCs w:val="21"/>
                <w:lang w:val="en-US" w:eastAsia="zh-CN"/>
              </w:rPr>
              <w:t>等</w:t>
            </w:r>
          </w:p>
        </w:tc>
      </w:tr>
      <w:tr w14:paraId="0F3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742" w:type="dxa"/>
            <w:gridSpan w:val="11"/>
            <w:noWrap/>
            <w:vAlign w:val="center"/>
          </w:tcPr>
          <w:p w14:paraId="772DE925">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leftChars="0" w:right="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宋体" w:hAnsi="宋体" w:eastAsia="宋体" w:cs="宋体"/>
                <w:b/>
                <w:bCs/>
                <w:color w:val="auto"/>
                <w:szCs w:val="21"/>
                <w:lang w:val="en-US" w:eastAsia="zh-CN"/>
              </w:rPr>
              <w:t>硬件部分：</w:t>
            </w:r>
          </w:p>
        </w:tc>
      </w:tr>
      <w:tr w14:paraId="23A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gridSpan w:val="2"/>
            <w:noWrap/>
            <w:vAlign w:val="center"/>
          </w:tcPr>
          <w:p w14:paraId="41E104D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序号</w:t>
            </w:r>
          </w:p>
        </w:tc>
        <w:tc>
          <w:tcPr>
            <w:tcW w:w="1275" w:type="dxa"/>
            <w:vAlign w:val="center"/>
          </w:tcPr>
          <w:p w14:paraId="456E4BFC">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产品名称</w:t>
            </w:r>
          </w:p>
        </w:tc>
        <w:tc>
          <w:tcPr>
            <w:tcW w:w="1054" w:type="dxa"/>
            <w:vAlign w:val="center"/>
          </w:tcPr>
          <w:p w14:paraId="410157F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设备名称</w:t>
            </w:r>
          </w:p>
        </w:tc>
        <w:tc>
          <w:tcPr>
            <w:tcW w:w="3125" w:type="dxa"/>
            <w:gridSpan w:val="4"/>
            <w:vAlign w:val="center"/>
          </w:tcPr>
          <w:p w14:paraId="4A3BC6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参考配置</w:t>
            </w:r>
          </w:p>
        </w:tc>
        <w:tc>
          <w:tcPr>
            <w:tcW w:w="965" w:type="dxa"/>
            <w:vAlign w:val="center"/>
          </w:tcPr>
          <w:p w14:paraId="25AAF76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数量</w:t>
            </w:r>
          </w:p>
        </w:tc>
        <w:tc>
          <w:tcPr>
            <w:tcW w:w="1819" w:type="dxa"/>
            <w:gridSpan w:val="2"/>
            <w:noWrap/>
            <w:vAlign w:val="center"/>
          </w:tcPr>
          <w:p w14:paraId="0A14EF6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单位</w:t>
            </w:r>
          </w:p>
        </w:tc>
      </w:tr>
      <w:tr w14:paraId="681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04" w:type="dxa"/>
            <w:gridSpan w:val="2"/>
            <w:noWrap/>
            <w:vAlign w:val="center"/>
          </w:tcPr>
          <w:p w14:paraId="54550C3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p>
        </w:tc>
        <w:tc>
          <w:tcPr>
            <w:tcW w:w="1275" w:type="dxa"/>
            <w:vMerge w:val="restart"/>
            <w:vAlign w:val="center"/>
          </w:tcPr>
          <w:p w14:paraId="4AA5503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自助机相关硬件维保</w:t>
            </w:r>
          </w:p>
        </w:tc>
        <w:tc>
          <w:tcPr>
            <w:tcW w:w="1054" w:type="dxa"/>
            <w:shd w:val="clear" w:color="auto" w:fill="auto"/>
            <w:vAlign w:val="center"/>
          </w:tcPr>
          <w:p w14:paraId="076D158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imes New Roman" w:hAnsi="Times New Roman" w:eastAsia="宋体" w:cs="Times New Roman"/>
                <w:color w:val="auto"/>
                <w:kern w:val="0"/>
                <w:sz w:val="24"/>
                <w:szCs w:val="24"/>
                <w:lang w:val="en-US" w:eastAsia="zh-CN" w:bidi="ar-SA"/>
              </w:rPr>
            </w:pPr>
            <w:r>
              <w:rPr>
                <w:rFonts w:hint="eastAsia" w:ascii="宋体" w:hAnsi="宋体" w:eastAsia="宋体" w:cs="宋体"/>
                <w:color w:val="auto"/>
                <w:sz w:val="21"/>
                <w:szCs w:val="21"/>
              </w:rPr>
              <w:t>自助缴费打印一体机（双屏）</w:t>
            </w:r>
          </w:p>
        </w:tc>
        <w:tc>
          <w:tcPr>
            <w:tcW w:w="3125" w:type="dxa"/>
            <w:gridSpan w:val="4"/>
            <w:shd w:val="clear" w:color="auto" w:fill="auto"/>
            <w:vAlign w:val="center"/>
          </w:tcPr>
          <w:p w14:paraId="62F62BB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宋体" w:hAnsi="宋体" w:cs="仿宋"/>
                <w:color w:val="auto"/>
                <w:sz w:val="21"/>
                <w:szCs w:val="21"/>
              </w:rPr>
              <w:t>工控主机、19寸触摸一体显示屏、金属密码键盘、电动读卡器、一、二维码扫描模块、激光打印机、凭条打印机、19寸广告屏、二代证阅读器、人脸识别摄像头、居民健康卡模块、社保读卡模块</w:t>
            </w:r>
          </w:p>
        </w:tc>
        <w:tc>
          <w:tcPr>
            <w:tcW w:w="965" w:type="dxa"/>
            <w:shd w:val="clear" w:color="auto" w:fill="auto"/>
            <w:vAlign w:val="center"/>
          </w:tcPr>
          <w:p w14:paraId="16B3F13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80</w:t>
            </w:r>
          </w:p>
        </w:tc>
        <w:tc>
          <w:tcPr>
            <w:tcW w:w="1819" w:type="dxa"/>
            <w:gridSpan w:val="2"/>
            <w:shd w:val="clear" w:color="auto" w:fill="auto"/>
            <w:noWrap/>
            <w:vAlign w:val="center"/>
          </w:tcPr>
          <w:p w14:paraId="6A4BE3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台</w:t>
            </w:r>
          </w:p>
        </w:tc>
      </w:tr>
      <w:tr w14:paraId="588E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gridSpan w:val="2"/>
            <w:noWrap/>
            <w:vAlign w:val="center"/>
          </w:tcPr>
          <w:p w14:paraId="5008C94D">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275" w:type="dxa"/>
            <w:vMerge w:val="continue"/>
            <w:vAlign w:val="center"/>
          </w:tcPr>
          <w:p w14:paraId="5DE78749">
            <w:pPr>
              <w:jc w:val="left"/>
              <w:rPr>
                <w:rFonts w:ascii="宋体" w:hAnsi="宋体" w:eastAsia="宋体" w:cs="宋体"/>
                <w:color w:val="auto"/>
                <w:szCs w:val="21"/>
              </w:rPr>
            </w:pPr>
          </w:p>
        </w:tc>
        <w:tc>
          <w:tcPr>
            <w:tcW w:w="1054" w:type="dxa"/>
            <w:vAlign w:val="center"/>
          </w:tcPr>
          <w:p w14:paraId="4AAD80FE">
            <w:pPr>
              <w:jc w:val="left"/>
              <w:rPr>
                <w:rFonts w:ascii="宋体" w:hAnsi="宋体" w:eastAsia="宋体" w:cs="宋体"/>
                <w:color w:val="auto"/>
                <w:szCs w:val="21"/>
              </w:rPr>
            </w:pPr>
            <w:r>
              <w:rPr>
                <w:rFonts w:hint="eastAsia" w:ascii="宋体" w:hAnsi="宋体" w:eastAsia="宋体" w:cs="宋体"/>
                <w:color w:val="auto"/>
                <w:sz w:val="21"/>
                <w:szCs w:val="21"/>
              </w:rPr>
              <w:t>服务器</w:t>
            </w:r>
          </w:p>
        </w:tc>
        <w:tc>
          <w:tcPr>
            <w:tcW w:w="3125" w:type="dxa"/>
            <w:gridSpan w:val="4"/>
            <w:vAlign w:val="center"/>
          </w:tcPr>
          <w:p w14:paraId="4690B4E5">
            <w:pPr>
              <w:jc w:val="left"/>
              <w:rPr>
                <w:rFonts w:hint="eastAsia" w:ascii="Times New Roman" w:hAnsi="Times New Roman" w:eastAsia="宋体" w:cs="Times New Roman"/>
                <w:color w:val="auto"/>
                <w:kern w:val="0"/>
                <w:sz w:val="24"/>
                <w:szCs w:val="24"/>
                <w:lang w:val="en-US" w:eastAsia="zh-CN" w:bidi="ar-SA"/>
              </w:rPr>
            </w:pPr>
            <w:r>
              <w:rPr>
                <w:rFonts w:hint="eastAsia" w:ascii="宋体" w:hAnsi="宋体" w:cs="仿宋"/>
                <w:color w:val="auto"/>
                <w:sz w:val="21"/>
                <w:szCs w:val="21"/>
              </w:rPr>
              <w:t>部署医院自助系统、MISPOS系统、扫码支付程序等</w:t>
            </w:r>
          </w:p>
        </w:tc>
        <w:tc>
          <w:tcPr>
            <w:tcW w:w="965" w:type="dxa"/>
            <w:vAlign w:val="center"/>
          </w:tcPr>
          <w:p w14:paraId="1A5F52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w:t>
            </w:r>
          </w:p>
        </w:tc>
        <w:tc>
          <w:tcPr>
            <w:tcW w:w="1819" w:type="dxa"/>
            <w:gridSpan w:val="2"/>
            <w:noWrap/>
            <w:vAlign w:val="center"/>
          </w:tcPr>
          <w:p w14:paraId="4F092F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台</w:t>
            </w:r>
          </w:p>
        </w:tc>
      </w:tr>
      <w:tr w14:paraId="0689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gridSpan w:val="2"/>
            <w:noWrap/>
            <w:vAlign w:val="center"/>
          </w:tcPr>
          <w:p w14:paraId="48DB6071">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275" w:type="dxa"/>
            <w:vMerge w:val="continue"/>
            <w:vAlign w:val="center"/>
          </w:tcPr>
          <w:p w14:paraId="4EED6CCF">
            <w:pPr>
              <w:jc w:val="center"/>
              <w:rPr>
                <w:rFonts w:ascii="宋体" w:hAnsi="宋体" w:eastAsia="宋体" w:cs="宋体"/>
                <w:color w:val="auto"/>
                <w:szCs w:val="21"/>
              </w:rPr>
            </w:pPr>
          </w:p>
        </w:tc>
        <w:tc>
          <w:tcPr>
            <w:tcW w:w="1054" w:type="dxa"/>
            <w:vAlign w:val="center"/>
          </w:tcPr>
          <w:p w14:paraId="097410CA">
            <w:pPr>
              <w:jc w:val="both"/>
              <w:rPr>
                <w:rFonts w:ascii="宋体" w:hAnsi="宋体" w:eastAsia="宋体" w:cs="宋体"/>
                <w:color w:val="auto"/>
                <w:szCs w:val="21"/>
              </w:rPr>
            </w:pPr>
            <w:r>
              <w:rPr>
                <w:rFonts w:hint="eastAsia" w:ascii="宋体" w:hAnsi="宋体" w:eastAsia="宋体" w:cs="宋体"/>
                <w:color w:val="auto"/>
                <w:sz w:val="21"/>
                <w:szCs w:val="21"/>
              </w:rPr>
              <w:t>网闸</w:t>
            </w:r>
          </w:p>
        </w:tc>
        <w:tc>
          <w:tcPr>
            <w:tcW w:w="3125" w:type="dxa"/>
            <w:gridSpan w:val="4"/>
            <w:vAlign w:val="center"/>
          </w:tcPr>
          <w:p w14:paraId="68F53E06">
            <w:pPr>
              <w:jc w:val="both"/>
              <w:rPr>
                <w:rFonts w:hint="default" w:ascii="Times New Roman" w:hAnsi="Times New Roman" w:eastAsia="宋体" w:cs="Times New Roman"/>
                <w:color w:val="auto"/>
                <w:kern w:val="0"/>
                <w:sz w:val="24"/>
                <w:szCs w:val="24"/>
                <w:lang w:val="en-US" w:eastAsia="zh-CN" w:bidi="ar-SA"/>
              </w:rPr>
            </w:pPr>
            <w:r>
              <w:rPr>
                <w:rFonts w:hint="eastAsia" w:ascii="宋体" w:hAnsi="宋体" w:eastAsia="宋体" w:cs="宋体"/>
                <w:color w:val="auto"/>
                <w:sz w:val="21"/>
                <w:szCs w:val="21"/>
                <w:lang w:val="en-US" w:eastAsia="zh-CN"/>
              </w:rPr>
              <w:t>网络安全设备</w:t>
            </w:r>
          </w:p>
        </w:tc>
        <w:tc>
          <w:tcPr>
            <w:tcW w:w="965" w:type="dxa"/>
            <w:vAlign w:val="center"/>
          </w:tcPr>
          <w:p w14:paraId="6C127AB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p>
        </w:tc>
        <w:tc>
          <w:tcPr>
            <w:tcW w:w="1819" w:type="dxa"/>
            <w:gridSpan w:val="2"/>
            <w:noWrap/>
            <w:vAlign w:val="center"/>
          </w:tcPr>
          <w:p w14:paraId="6E27E9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台</w:t>
            </w:r>
          </w:p>
        </w:tc>
      </w:tr>
    </w:tbl>
    <w:p w14:paraId="0D6B5D2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right="0"/>
        <w:jc w:val="left"/>
        <w:textAlignment w:val="baseline"/>
        <w:rPr>
          <w:rFonts w:hint="eastAsia" w:ascii="宋体" w:hAnsi="宋体" w:eastAsia="宋体" w:cs="宋体"/>
          <w:snapToGrid/>
          <w:color w:val="auto"/>
          <w:kern w:val="0"/>
          <w:sz w:val="24"/>
          <w:szCs w:val="24"/>
          <w:lang w:val="en-US" w:eastAsia="zh-CN" w:bidi="ar"/>
        </w:rPr>
      </w:pPr>
    </w:p>
    <w:p w14:paraId="7999B3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保障</w:t>
      </w:r>
      <w:r>
        <w:rPr>
          <w:rFonts w:hint="eastAsia" w:ascii="宋体" w:hAnsi="宋体" w:cs="宋体"/>
          <w:snapToGrid/>
          <w:color w:val="auto"/>
          <w:kern w:val="0"/>
          <w:sz w:val="24"/>
          <w:szCs w:val="24"/>
          <w:lang w:val="en-US" w:eastAsia="zh-CN" w:bidi="ar"/>
        </w:rPr>
        <w:t>自助机相关硬件、软件</w:t>
      </w:r>
      <w:r>
        <w:rPr>
          <w:rFonts w:hint="eastAsia" w:ascii="宋体" w:hAnsi="宋体" w:eastAsia="宋体" w:cs="宋体"/>
          <w:snapToGrid/>
          <w:color w:val="auto"/>
          <w:kern w:val="0"/>
          <w:sz w:val="24"/>
          <w:szCs w:val="24"/>
          <w:lang w:val="en-US" w:eastAsia="zh-CN" w:bidi="ar"/>
        </w:rPr>
        <w:t>的正常运行，对软</w:t>
      </w:r>
      <w:r>
        <w:rPr>
          <w:rFonts w:hint="eastAsia" w:ascii="宋体" w:hAnsi="宋体" w:cs="宋体"/>
          <w:snapToGrid/>
          <w:color w:val="auto"/>
          <w:kern w:val="0"/>
          <w:sz w:val="24"/>
          <w:szCs w:val="24"/>
          <w:lang w:val="en-US" w:eastAsia="zh-CN" w:bidi="ar"/>
        </w:rPr>
        <w:t>硬</w:t>
      </w:r>
      <w:r>
        <w:rPr>
          <w:rFonts w:hint="eastAsia" w:ascii="宋体" w:hAnsi="宋体" w:eastAsia="宋体" w:cs="宋体"/>
          <w:snapToGrid/>
          <w:color w:val="auto"/>
          <w:kern w:val="0"/>
          <w:sz w:val="24"/>
          <w:szCs w:val="24"/>
          <w:lang w:val="en-US" w:eastAsia="zh-CN" w:bidi="ar"/>
        </w:rPr>
        <w:t>件中存在的缺陷进行优化，响应院方需求，确保软</w:t>
      </w:r>
      <w:r>
        <w:rPr>
          <w:rFonts w:hint="eastAsia" w:ascii="宋体" w:hAnsi="宋体" w:cs="宋体"/>
          <w:snapToGrid/>
          <w:color w:val="auto"/>
          <w:kern w:val="0"/>
          <w:sz w:val="24"/>
          <w:szCs w:val="24"/>
          <w:lang w:val="en-US" w:eastAsia="zh-CN" w:bidi="ar"/>
        </w:rPr>
        <w:t>硬</w:t>
      </w:r>
      <w:r>
        <w:rPr>
          <w:rFonts w:hint="eastAsia" w:ascii="宋体" w:hAnsi="宋体" w:eastAsia="宋体" w:cs="宋体"/>
          <w:snapToGrid/>
          <w:color w:val="auto"/>
          <w:kern w:val="0"/>
          <w:sz w:val="24"/>
          <w:szCs w:val="24"/>
          <w:lang w:val="en-US" w:eastAsia="zh-CN" w:bidi="ar"/>
        </w:rPr>
        <w:t>件的正常使用。</w:t>
      </w:r>
    </w:p>
    <w:p w14:paraId="28463E8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cs="宋体"/>
          <w:snapToGrid/>
          <w:color w:val="auto"/>
          <w:kern w:val="0"/>
          <w:sz w:val="24"/>
          <w:szCs w:val="24"/>
          <w:lang w:val="en-US" w:eastAsia="zh-CN" w:bidi="ar"/>
        </w:rPr>
        <w:t>2.</w:t>
      </w:r>
      <w:r>
        <w:rPr>
          <w:rFonts w:hint="eastAsia" w:ascii="宋体" w:hAnsi="宋体" w:eastAsia="宋体" w:cs="宋体"/>
          <w:snapToGrid/>
          <w:color w:val="auto"/>
          <w:kern w:val="0"/>
          <w:sz w:val="24"/>
          <w:szCs w:val="24"/>
          <w:lang w:val="en-US" w:eastAsia="zh-CN" w:bidi="ar"/>
        </w:rPr>
        <w:t>服务方式：</w:t>
      </w:r>
    </w:p>
    <w:p w14:paraId="020EAB8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（1）远程电话支持：具有全国客服热线，提供7×24小时远程支持或软件技术问题解决与分发。</w:t>
      </w:r>
    </w:p>
    <w:p w14:paraId="40789B0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（2）远程技术支持服务：有条件进行远程，将通过远程工具第一时间解决故障问题，保证系统运行。</w:t>
      </w:r>
    </w:p>
    <w:p w14:paraId="704FB40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（3）现场服务：若远程维护无法解决故问题，投标人应派遣技术人员到使用现场解决问题，并对</w:t>
      </w:r>
      <w:r>
        <w:rPr>
          <w:rFonts w:hint="eastAsia" w:ascii="宋体" w:hAnsi="宋体" w:cs="宋体"/>
          <w:snapToGrid/>
          <w:color w:val="auto"/>
          <w:kern w:val="0"/>
          <w:sz w:val="24"/>
          <w:szCs w:val="24"/>
          <w:lang w:val="en-US" w:eastAsia="zh-CN" w:bidi="ar"/>
        </w:rPr>
        <w:t>自助机硬件及软件</w:t>
      </w:r>
      <w:r>
        <w:rPr>
          <w:rFonts w:hint="eastAsia" w:ascii="宋体" w:hAnsi="宋体" w:eastAsia="宋体" w:cs="宋体"/>
          <w:snapToGrid/>
          <w:color w:val="auto"/>
          <w:kern w:val="0"/>
          <w:sz w:val="24"/>
          <w:szCs w:val="24"/>
          <w:lang w:val="en-US" w:eastAsia="zh-CN" w:bidi="ar"/>
        </w:rPr>
        <w:t>系统进行系统保障的服务。</w:t>
      </w:r>
    </w:p>
    <w:p w14:paraId="602A688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3.联机服务：</w:t>
      </w:r>
    </w:p>
    <w:p w14:paraId="0E69056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1）故障维护：配合院方解决系统运行过程中由于网络、服务器、计算机、操作系统等原因所产生的软件无法正常运行的情况，保障系统的正常运行，并在完成故障处理后出具产品维护报告，包含问题的原因、解决办法及建议。</w:t>
      </w:r>
    </w:p>
    <w:p w14:paraId="541F3C0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（2）软件正确性维护：软件运行过程中新发现的软件错误，负责维护并及时改进，同时向院方提供软件维护说明。</w:t>
      </w:r>
    </w:p>
    <w:p w14:paraId="7BE1EC6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（3）</w:t>
      </w:r>
      <w:r>
        <w:rPr>
          <w:rFonts w:ascii="Segoe UI" w:hAnsi="Segoe UI" w:eastAsia="Segoe UI" w:cs="Segoe UI"/>
          <w:i w:val="0"/>
          <w:iCs w:val="0"/>
          <w:caps w:val="0"/>
          <w:spacing w:val="0"/>
          <w:sz w:val="24"/>
          <w:szCs w:val="24"/>
          <w:shd w:val="clear" w:fill="FFFFFF"/>
        </w:rPr>
        <w:t>高频故障部件</w:t>
      </w:r>
      <w:r>
        <w:rPr>
          <w:rFonts w:hint="eastAsia" w:ascii="宋体" w:hAnsi="宋体" w:eastAsia="宋体" w:cs="宋体"/>
          <w:snapToGrid/>
          <w:color w:val="auto"/>
          <w:kern w:val="0"/>
          <w:sz w:val="24"/>
          <w:szCs w:val="24"/>
          <w:lang w:val="en-US" w:eastAsia="zh-CN" w:bidi="ar"/>
        </w:rPr>
        <w:t>维护：主机核心部件、</w:t>
      </w:r>
      <w:r>
        <w:rPr>
          <w:rFonts w:ascii="Segoe UI" w:hAnsi="Segoe UI" w:eastAsia="Segoe UI" w:cs="Segoe UI"/>
          <w:i w:val="0"/>
          <w:iCs w:val="0"/>
          <w:caps w:val="0"/>
          <w:spacing w:val="0"/>
          <w:sz w:val="24"/>
          <w:szCs w:val="24"/>
          <w:shd w:val="clear" w:fill="FFFFFF"/>
        </w:rPr>
        <w:t>LED 显示屏</w:t>
      </w:r>
      <w:r>
        <w:rPr>
          <w:rFonts w:hint="eastAsia" w:ascii="Segoe UI" w:hAnsi="Segoe UI" w:eastAsia="宋体" w:cs="Segoe UI"/>
          <w:i w:val="0"/>
          <w:iCs w:val="0"/>
          <w:caps w:val="0"/>
          <w:spacing w:val="0"/>
          <w:sz w:val="24"/>
          <w:szCs w:val="24"/>
          <w:shd w:val="clear" w:fill="FFFFFF"/>
          <w:lang w:eastAsia="zh-CN"/>
        </w:rPr>
        <w:t>、</w:t>
      </w:r>
      <w:r>
        <w:rPr>
          <w:rFonts w:hint="eastAsia" w:ascii="宋体" w:hAnsi="宋体" w:eastAsia="宋体" w:cs="宋体"/>
          <w:snapToGrid/>
          <w:color w:val="auto"/>
          <w:kern w:val="0"/>
          <w:sz w:val="24"/>
          <w:szCs w:val="24"/>
          <w:lang w:val="en-US" w:eastAsia="zh-CN" w:bidi="ar"/>
        </w:rPr>
        <w:t>医疗专用读卡器、打印与输出部件、扫码与识别辅助部件。</w:t>
      </w:r>
    </w:p>
    <w:p w14:paraId="79E1B0C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（4）硬件设备维护：保修期内，乙方对本项目所有非人为损坏的设备予以免费维修，不能修复的应在收到报障信息后3个日历日内予</w:t>
      </w:r>
      <w:bookmarkStart w:id="0" w:name="_GoBack"/>
      <w:bookmarkEnd w:id="0"/>
      <w:r>
        <w:rPr>
          <w:rFonts w:hint="eastAsia" w:ascii="宋体" w:hAnsi="宋体" w:eastAsia="宋体" w:cs="宋体"/>
          <w:snapToGrid/>
          <w:color w:val="auto"/>
          <w:kern w:val="0"/>
          <w:sz w:val="24"/>
          <w:szCs w:val="24"/>
          <w:lang w:val="en-US" w:eastAsia="zh-CN" w:bidi="ar"/>
        </w:rPr>
        <w:t>以免费更换。</w:t>
      </w:r>
    </w:p>
    <w:p w14:paraId="5F2E0C1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w:t>
      </w:r>
      <w:r>
        <w:rPr>
          <w:rFonts w:hint="eastAsia" w:ascii="宋体" w:hAnsi="宋体" w:cs="宋体"/>
          <w:snapToGrid/>
          <w:color w:val="auto"/>
          <w:kern w:val="0"/>
          <w:sz w:val="24"/>
          <w:szCs w:val="24"/>
          <w:lang w:val="en-US" w:eastAsia="zh-CN" w:bidi="ar"/>
        </w:rPr>
        <w:t>5</w:t>
      </w:r>
      <w:r>
        <w:rPr>
          <w:rFonts w:hint="eastAsia" w:ascii="宋体" w:hAnsi="宋体" w:eastAsia="宋体" w:cs="宋体"/>
          <w:snapToGrid/>
          <w:color w:val="auto"/>
          <w:kern w:val="0"/>
          <w:sz w:val="24"/>
          <w:szCs w:val="24"/>
          <w:lang w:val="en-US" w:eastAsia="zh-CN" w:bidi="ar"/>
        </w:rPr>
        <w:t>）需求的更新：由于国家卫生主管部门政策变化导致本合同范围内的软件系统功能中的表单内容、格式需变更，和院方在实际工作中产生的需要系统更新的相关功能及各系统接口对接。</w:t>
      </w:r>
    </w:p>
    <w:p w14:paraId="006929A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w:t>
      </w:r>
      <w:r>
        <w:rPr>
          <w:rFonts w:hint="eastAsia" w:ascii="宋体" w:hAnsi="宋体" w:cs="宋体"/>
          <w:snapToGrid/>
          <w:color w:val="auto"/>
          <w:kern w:val="0"/>
          <w:sz w:val="24"/>
          <w:szCs w:val="24"/>
          <w:lang w:val="en-US" w:eastAsia="zh-CN" w:bidi="ar"/>
        </w:rPr>
        <w:t>6</w:t>
      </w:r>
      <w:r>
        <w:rPr>
          <w:rFonts w:hint="eastAsia" w:ascii="宋体" w:hAnsi="宋体" w:eastAsia="宋体" w:cs="宋体"/>
          <w:snapToGrid/>
          <w:color w:val="auto"/>
          <w:kern w:val="0"/>
          <w:sz w:val="24"/>
          <w:szCs w:val="24"/>
          <w:lang w:val="en-US" w:eastAsia="zh-CN" w:bidi="ar"/>
        </w:rPr>
        <w:t>）用户培训：负责软件更改后造成软件操作变化的使用培训，培训对象为院方的医生、护士、技术工程师、业务科室的关键用户。同时向院方提供新功能使用说明。</w:t>
      </w:r>
    </w:p>
    <w:p w14:paraId="3AEEBB1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w:t>
      </w:r>
      <w:r>
        <w:rPr>
          <w:rFonts w:hint="eastAsia" w:ascii="宋体" w:hAnsi="宋体" w:cs="宋体"/>
          <w:snapToGrid/>
          <w:color w:val="auto"/>
          <w:kern w:val="0"/>
          <w:sz w:val="24"/>
          <w:szCs w:val="24"/>
          <w:lang w:val="en-US" w:eastAsia="zh-CN" w:bidi="ar"/>
        </w:rPr>
        <w:t>7</w:t>
      </w:r>
      <w:r>
        <w:rPr>
          <w:rFonts w:hint="eastAsia" w:ascii="宋体" w:hAnsi="宋体" w:eastAsia="宋体" w:cs="宋体"/>
          <w:snapToGrid/>
          <w:color w:val="auto"/>
          <w:kern w:val="0"/>
          <w:sz w:val="24"/>
          <w:szCs w:val="24"/>
          <w:lang w:val="en-US" w:eastAsia="zh-CN" w:bidi="ar"/>
        </w:rPr>
        <w:t>）定时巡检：经院方许可，每季度至少进行一次定期巡检，除定期的巡检之外，根据实际情况提供重大的节假日（包括但不限于五一、十一、春节、元旦等）、会议等事件之前的健康检查工作，对院方应用软件的软硬件环境进行检查，发现影响系统稳定运行的隐患因素并及时排除。向院方出具系统巡检报告，内容包含巡检范围、结果及巡检建议。</w:t>
      </w:r>
    </w:p>
    <w:p w14:paraId="473B207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cs="宋体"/>
          <w:snapToGrid/>
          <w:color w:val="auto"/>
          <w:kern w:val="0"/>
          <w:sz w:val="24"/>
          <w:szCs w:val="24"/>
          <w:lang w:val="en-US" w:eastAsia="zh-CN" w:bidi="ar"/>
        </w:rPr>
        <w:t>（8）</w:t>
      </w:r>
      <w:r>
        <w:rPr>
          <w:rFonts w:hint="eastAsia" w:ascii="宋体" w:hAnsi="宋体" w:eastAsia="宋体" w:cs="宋体"/>
          <w:snapToGrid/>
          <w:color w:val="auto"/>
          <w:kern w:val="0"/>
          <w:sz w:val="24"/>
          <w:szCs w:val="24"/>
          <w:lang w:val="en-US" w:eastAsia="zh-CN" w:bidi="ar"/>
        </w:rPr>
        <w:t>数据迁移、备份和恢复服务：如采购人需要，提供数据迁移、备份和恢复服务。</w:t>
      </w:r>
    </w:p>
    <w:p w14:paraId="03C68E7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w:t>
      </w:r>
      <w:r>
        <w:rPr>
          <w:rFonts w:hint="eastAsia" w:ascii="宋体" w:hAnsi="宋体" w:cs="宋体"/>
          <w:snapToGrid/>
          <w:color w:val="auto"/>
          <w:kern w:val="0"/>
          <w:sz w:val="24"/>
          <w:szCs w:val="24"/>
          <w:lang w:val="en-US" w:eastAsia="zh-CN" w:bidi="ar"/>
        </w:rPr>
        <w:t>9</w:t>
      </w:r>
      <w:r>
        <w:rPr>
          <w:rFonts w:hint="eastAsia" w:ascii="宋体" w:hAnsi="宋体" w:eastAsia="宋体" w:cs="宋体"/>
          <w:snapToGrid/>
          <w:color w:val="auto"/>
          <w:kern w:val="0"/>
          <w:sz w:val="24"/>
          <w:szCs w:val="24"/>
          <w:lang w:val="en-US" w:eastAsia="zh-CN" w:bidi="ar"/>
        </w:rPr>
        <w:t>）系统建设建议：系统在运行过程中，不定期地向院方提供科室软件建设建议方案。</w:t>
      </w:r>
    </w:p>
    <w:p w14:paraId="1FE26CC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Times New Roman" w:hAnsi="Times New Roman" w:eastAsia="宋体" w:cs="Times New Roman"/>
          <w:snapToGrid/>
          <w:color w:val="auto"/>
          <w:kern w:val="0"/>
          <w:sz w:val="24"/>
          <w:szCs w:val="24"/>
          <w:lang w:val="en-US" w:eastAsia="zh-CN" w:bidi="ar"/>
        </w:rPr>
        <w:t>（</w:t>
      </w:r>
      <w:r>
        <w:rPr>
          <w:rFonts w:hint="eastAsia" w:cs="Times New Roman"/>
          <w:snapToGrid/>
          <w:color w:val="auto"/>
          <w:kern w:val="0"/>
          <w:sz w:val="24"/>
          <w:szCs w:val="24"/>
          <w:lang w:val="en-US" w:eastAsia="zh-CN" w:bidi="ar"/>
        </w:rPr>
        <w:t>10</w:t>
      </w:r>
      <w:r>
        <w:rPr>
          <w:rFonts w:hint="eastAsia" w:ascii="Times New Roman" w:hAnsi="Times New Roman" w:eastAsia="宋体" w:cs="Times New Roman"/>
          <w:snapToGrid/>
          <w:color w:val="auto"/>
          <w:kern w:val="0"/>
          <w:sz w:val="24"/>
          <w:szCs w:val="24"/>
          <w:lang w:val="en-US" w:eastAsia="zh-CN" w:bidi="ar"/>
        </w:rPr>
        <w:t>）</w:t>
      </w:r>
      <w:r>
        <w:rPr>
          <w:rFonts w:hint="eastAsia" w:cs="Times New Roman"/>
          <w:b w:val="0"/>
          <w:bCs w:val="0"/>
          <w:color w:val="auto"/>
          <w:kern w:val="2"/>
          <w:sz w:val="24"/>
          <w:szCs w:val="24"/>
          <w:lang w:val="en-US" w:eastAsia="zh-CN" w:bidi="ar"/>
        </w:rPr>
        <w:t>投标人已</w:t>
      </w:r>
      <w:r>
        <w:rPr>
          <w:rFonts w:hint="eastAsia" w:ascii="Times New Roman" w:hAnsi="Times New Roman" w:eastAsia="宋体" w:cs="Times New Roman"/>
          <w:b w:val="0"/>
          <w:bCs w:val="0"/>
          <w:color w:val="auto"/>
          <w:kern w:val="2"/>
          <w:sz w:val="24"/>
          <w:szCs w:val="24"/>
          <w:lang w:val="en-US" w:eastAsia="zh-CN" w:bidi="ar"/>
        </w:rPr>
        <w:t>知悉、理解并承诺遵守</w:t>
      </w:r>
      <w:r>
        <w:rPr>
          <w:rFonts w:hint="eastAsia" w:ascii="Times New Roman" w:hAnsi="Times New Roman" w:eastAsia="宋体" w:cs="Times New Roman"/>
          <w:snapToGrid/>
          <w:color w:val="auto"/>
          <w:kern w:val="0"/>
          <w:sz w:val="24"/>
          <w:szCs w:val="24"/>
          <w:lang w:val="en-US" w:eastAsia="zh-CN" w:bidi="ar"/>
        </w:rPr>
        <w:t>《海南医科大学第二附属医院信息科信息科对外委托服务管理制度》，</w:t>
      </w:r>
      <w:r>
        <w:rPr>
          <w:rFonts w:hint="eastAsia" w:cs="Times New Roman"/>
          <w:snapToGrid/>
          <w:color w:val="auto"/>
          <w:kern w:val="0"/>
          <w:sz w:val="24"/>
          <w:szCs w:val="24"/>
          <w:lang w:val="en-US" w:eastAsia="zh-CN" w:bidi="ar"/>
        </w:rPr>
        <w:t>投标人</w:t>
      </w:r>
      <w:r>
        <w:rPr>
          <w:rFonts w:hint="eastAsia" w:ascii="Times New Roman" w:hAnsi="Times New Roman" w:eastAsia="宋体" w:cs="Times New Roman"/>
          <w:snapToGrid/>
          <w:color w:val="auto"/>
          <w:kern w:val="0"/>
          <w:sz w:val="24"/>
          <w:szCs w:val="24"/>
          <w:lang w:val="en-US" w:eastAsia="zh-CN" w:bidi="ar"/>
        </w:rPr>
        <w:t>须按照制度要求配合甲方进行服务考核，包括但不限于定期完成数据库、软件服务巡检，并形成巡检报告，工作进度报告等。</w:t>
      </w:r>
    </w:p>
    <w:p w14:paraId="6CCD796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w:t>
      </w:r>
      <w:r>
        <w:rPr>
          <w:rFonts w:hint="eastAsia" w:ascii="宋体" w:hAnsi="宋体" w:cs="宋体"/>
          <w:snapToGrid/>
          <w:color w:val="auto"/>
          <w:kern w:val="0"/>
          <w:sz w:val="24"/>
          <w:szCs w:val="24"/>
          <w:lang w:val="en-US" w:eastAsia="zh-CN" w:bidi="ar"/>
        </w:rPr>
        <w:t>11</w:t>
      </w:r>
      <w:r>
        <w:rPr>
          <w:rFonts w:hint="eastAsia" w:ascii="宋体" w:hAnsi="宋体" w:eastAsia="宋体" w:cs="宋体"/>
          <w:snapToGrid/>
          <w:color w:val="auto"/>
          <w:kern w:val="0"/>
          <w:sz w:val="24"/>
          <w:szCs w:val="24"/>
          <w:lang w:val="en-US" w:eastAsia="zh-CN" w:bidi="ar"/>
        </w:rPr>
        <w:t>）客户回应承诺：</w:t>
      </w:r>
    </w:p>
    <w:p w14:paraId="66ECED8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在维护期内，如软件系统故障，需在接到通知后30分钟内予以</w:t>
      </w:r>
      <w:r>
        <w:rPr>
          <w:rFonts w:hint="eastAsia" w:ascii="宋体" w:hAnsi="宋体" w:cs="宋体"/>
          <w:snapToGrid/>
          <w:color w:val="auto"/>
          <w:kern w:val="0"/>
          <w:sz w:val="24"/>
          <w:szCs w:val="24"/>
          <w:lang w:val="en-US" w:eastAsia="zh-CN" w:bidi="ar"/>
        </w:rPr>
        <w:t>实质性</w:t>
      </w:r>
      <w:r>
        <w:rPr>
          <w:rFonts w:hint="eastAsia" w:ascii="宋体" w:hAnsi="宋体" w:eastAsia="宋体" w:cs="宋体"/>
          <w:snapToGrid/>
          <w:color w:val="auto"/>
          <w:kern w:val="0"/>
          <w:sz w:val="24"/>
          <w:szCs w:val="24"/>
          <w:lang w:val="en-US" w:eastAsia="zh-CN" w:bidi="ar"/>
        </w:rPr>
        <w:t>响应，共同协商解决方案。若需要工程师前往现场，除约定到达时间外，一般要求在</w:t>
      </w:r>
      <w:r>
        <w:rPr>
          <w:rFonts w:hint="eastAsia" w:ascii="宋体" w:hAnsi="宋体" w:cs="宋体"/>
          <w:snapToGrid/>
          <w:color w:val="auto"/>
          <w:kern w:val="0"/>
          <w:sz w:val="24"/>
          <w:szCs w:val="24"/>
          <w:lang w:val="en-US" w:eastAsia="zh-CN" w:bidi="ar"/>
        </w:rPr>
        <w:t>2</w:t>
      </w:r>
      <w:r>
        <w:rPr>
          <w:rFonts w:hint="eastAsia" w:ascii="宋体" w:hAnsi="宋体" w:eastAsia="宋体" w:cs="宋体"/>
          <w:snapToGrid/>
          <w:color w:val="auto"/>
          <w:kern w:val="0"/>
          <w:sz w:val="24"/>
          <w:szCs w:val="24"/>
          <w:lang w:val="en-US" w:eastAsia="zh-CN" w:bidi="ar"/>
        </w:rPr>
        <w:t>4小时</w:t>
      </w:r>
      <w:r>
        <w:rPr>
          <w:rFonts w:hint="eastAsia" w:ascii="宋体" w:hAnsi="宋体" w:cs="宋体"/>
          <w:snapToGrid/>
          <w:color w:val="auto"/>
          <w:kern w:val="0"/>
          <w:sz w:val="24"/>
          <w:szCs w:val="24"/>
          <w:lang w:val="en-US" w:eastAsia="zh-CN" w:bidi="ar"/>
        </w:rPr>
        <w:t>内</w:t>
      </w:r>
      <w:r>
        <w:rPr>
          <w:rFonts w:hint="eastAsia" w:ascii="宋体" w:hAnsi="宋体" w:eastAsia="宋体" w:cs="宋体"/>
          <w:snapToGrid/>
          <w:color w:val="auto"/>
          <w:kern w:val="0"/>
          <w:sz w:val="24"/>
          <w:szCs w:val="24"/>
          <w:lang w:val="en-US" w:eastAsia="zh-CN" w:bidi="ar"/>
        </w:rPr>
        <w:t>到达院方指定现场。工程师在到达现场后，经现场调查后，除约定时间外，一般要求12小时内排除故障。如院方因需求修改要求工程师现场维护的，应在24小时内予以回应，给出具体解决方案和时间表，经院方批准后，遵照方案、时间表及本合同约定执行。</w:t>
      </w:r>
    </w:p>
    <w:p w14:paraId="462BE67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cs="宋体"/>
          <w:snapToGrid/>
          <w:color w:val="auto"/>
          <w:kern w:val="0"/>
          <w:sz w:val="24"/>
          <w:szCs w:val="24"/>
          <w:lang w:val="en-US" w:eastAsia="zh-CN" w:bidi="ar"/>
        </w:rPr>
        <w:t>（12）</w:t>
      </w:r>
      <w:r>
        <w:rPr>
          <w:rFonts w:hint="eastAsia" w:ascii="宋体" w:hAnsi="宋体" w:eastAsia="宋体" w:cs="宋体"/>
          <w:snapToGrid/>
          <w:color w:val="auto"/>
          <w:kern w:val="0"/>
          <w:sz w:val="24"/>
          <w:szCs w:val="24"/>
          <w:lang w:val="en-US" w:eastAsia="zh-CN" w:bidi="ar"/>
        </w:rPr>
        <w:t>文档管理：提供和完善相关服务工作文档（软件更新的内容说明和常见问题的解决方法说明）。</w:t>
      </w:r>
    </w:p>
    <w:p w14:paraId="51334B9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cs="宋体"/>
          <w:snapToGrid/>
          <w:color w:val="auto"/>
          <w:kern w:val="0"/>
          <w:sz w:val="24"/>
          <w:szCs w:val="24"/>
          <w:lang w:val="en-US" w:eastAsia="zh-CN" w:bidi="ar"/>
        </w:rPr>
        <w:t>（13）</w:t>
      </w:r>
      <w:r>
        <w:rPr>
          <w:rFonts w:hint="eastAsia" w:ascii="宋体" w:hAnsi="宋体" w:eastAsia="宋体" w:cs="宋体"/>
          <w:snapToGrid/>
          <w:color w:val="auto"/>
          <w:kern w:val="0"/>
          <w:sz w:val="24"/>
          <w:szCs w:val="24"/>
          <w:lang w:val="en-US" w:eastAsia="zh-CN" w:bidi="ar"/>
        </w:rPr>
        <w:t>维护期内所发生的一切费用包括系统技术支持、系统维护或升级、人员交通、差旅服务等全部费用均由中标人承担，采购人不再另行付费。</w:t>
      </w:r>
    </w:p>
    <w:p w14:paraId="0B5C90E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p>
    <w:p w14:paraId="6F3DBFD1">
      <w:pPr>
        <w:pStyle w:val="2"/>
        <w:pageBreakBefore w:val="0"/>
        <w:wordWrap/>
        <w:overflowPunct/>
        <w:topLinePunct w:val="0"/>
        <w:bidi w:val="0"/>
        <w:spacing w:before="0" w:beforeLines="0" w:after="0" w:afterLines="0" w:line="360" w:lineRule="auto"/>
        <w:ind w:left="0" w:leftChars="0" w:right="0" w:firstLine="482" w:firstLineChars="200"/>
        <w:rPr>
          <w:rFonts w:hint="eastAsia" w:asciiTheme="minorHAnsi" w:hAnsiTheme="minorHAnsi" w:eastAsiaTheme="minorEastAsia" w:cstheme="minorBidi"/>
          <w:b/>
          <w:color w:val="auto"/>
          <w:sz w:val="24"/>
          <w:szCs w:val="24"/>
          <w:lang w:val="en-US" w:eastAsia="zh-CN"/>
        </w:rPr>
      </w:pPr>
      <w:r>
        <w:rPr>
          <w:rFonts w:hint="eastAsia" w:asciiTheme="minorHAnsi" w:hAnsiTheme="minorHAnsi" w:eastAsiaTheme="minorEastAsia" w:cstheme="minorBidi"/>
          <w:b/>
          <w:color w:val="auto"/>
          <w:sz w:val="24"/>
          <w:szCs w:val="24"/>
          <w:lang w:val="en-US" w:eastAsia="zh-CN"/>
        </w:rPr>
        <w:t xml:space="preserve">四、采购项目商务要求 </w:t>
      </w:r>
    </w:p>
    <w:p w14:paraId="7E312DBD">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xml:space="preserve">1. 服务地点：采购人（用户）所在地。  </w:t>
      </w:r>
    </w:p>
    <w:p w14:paraId="58B5E99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2. 维护期限：自合同签订之日起</w:t>
      </w:r>
      <w:r>
        <w:rPr>
          <w:rFonts w:hint="eastAsia" w:ascii="宋体" w:hAnsi="宋体" w:cs="宋体"/>
          <w:snapToGrid/>
          <w:color w:val="auto"/>
          <w:kern w:val="0"/>
          <w:sz w:val="24"/>
          <w:szCs w:val="24"/>
          <w:u w:val="single"/>
          <w:lang w:val="en-US" w:eastAsia="zh-CN" w:bidi="ar"/>
        </w:rPr>
        <w:t xml:space="preserve">  贰 </w:t>
      </w:r>
      <w:r>
        <w:rPr>
          <w:rFonts w:hint="eastAsia" w:ascii="宋体" w:hAnsi="宋体" w:eastAsia="宋体" w:cs="宋体"/>
          <w:snapToGrid/>
          <w:color w:val="auto"/>
          <w:kern w:val="0"/>
          <w:sz w:val="24"/>
          <w:szCs w:val="24"/>
          <w:lang w:val="en-US" w:eastAsia="zh-CN" w:bidi="ar"/>
        </w:rPr>
        <w:t>年。</w:t>
      </w:r>
    </w:p>
    <w:p w14:paraId="6B0AA1F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 xml:space="preserve">3 付款方式： </w:t>
      </w:r>
    </w:p>
    <w:p w14:paraId="6BA8EBD5">
      <w:pPr>
        <w:pStyle w:val="9"/>
        <w:keepNext w:val="0"/>
        <w:keepLines w:val="0"/>
        <w:pageBreakBefore w:val="0"/>
        <w:widowControl w:val="0"/>
        <w:kinsoku/>
        <w:wordWrap/>
        <w:overflowPunct/>
        <w:topLinePunct w:val="0"/>
        <w:autoSpaceDE w:val="0"/>
        <w:autoSpaceDN/>
        <w:bidi w:val="0"/>
        <w:adjustRightInd/>
        <w:spacing w:line="360" w:lineRule="auto"/>
        <w:ind w:firstLine="480" w:firstLineChars="200"/>
        <w:jc w:val="both"/>
        <w:textAlignment w:val="auto"/>
        <w:rPr>
          <w:rFonts w:hint="eastAsia" w:ascii="Times New Roman" w:hAnsi="Times New Roman" w:eastAsia="宋体" w:cs="Times New Roman"/>
          <w:snapToGrid/>
          <w:color w:val="auto"/>
          <w:kern w:val="0"/>
          <w:sz w:val="24"/>
          <w:szCs w:val="24"/>
          <w:lang w:val="en-US" w:eastAsia="zh-CN"/>
        </w:rPr>
      </w:pPr>
      <w:r>
        <w:rPr>
          <w:rFonts w:hint="eastAsia" w:ascii="Times New Roman" w:hAnsi="Times New Roman" w:eastAsia="宋体" w:cs="Times New Roman"/>
          <w:snapToGrid/>
          <w:color w:val="auto"/>
          <w:kern w:val="0"/>
          <w:sz w:val="24"/>
          <w:szCs w:val="24"/>
          <w:lang w:val="en-US" w:eastAsia="zh-CN"/>
        </w:rPr>
        <w:t>合同签订后支付50%费用，维保期满后支付剩下50%，乙方向甲方书面提交验收申请，甲方对乙方维保服务进行评价，并根据评价结果支付项目金额，维保服务评价表见附件</w:t>
      </w:r>
      <w:r>
        <w:rPr>
          <w:rFonts w:hint="eastAsia" w:ascii="Times New Roman" w:hAnsi="Times New Roman" w:cs="Times New Roman"/>
          <w:snapToGrid/>
          <w:color w:val="auto"/>
          <w:kern w:val="0"/>
          <w:sz w:val="24"/>
          <w:szCs w:val="24"/>
          <w:lang w:val="en-US" w:eastAsia="zh-CN"/>
        </w:rPr>
        <w:t>1</w:t>
      </w:r>
      <w:r>
        <w:rPr>
          <w:rFonts w:hint="eastAsia" w:ascii="Times New Roman" w:hAnsi="Times New Roman" w:eastAsia="宋体" w:cs="Times New Roman"/>
          <w:snapToGrid/>
          <w:color w:val="auto"/>
          <w:kern w:val="0"/>
          <w:sz w:val="24"/>
          <w:szCs w:val="24"/>
          <w:lang w:val="en-US" w:eastAsia="zh-CN"/>
        </w:rPr>
        <w:t>。</w:t>
      </w:r>
    </w:p>
    <w:p w14:paraId="28F01132">
      <w:pPr>
        <w:pStyle w:val="9"/>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维保服务评价结果为优秀，全额支付合同款；</w:t>
      </w:r>
    </w:p>
    <w:p w14:paraId="2100D99D">
      <w:pPr>
        <w:pStyle w:val="9"/>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维保评价结果为良好，支付85%合同款；</w:t>
      </w:r>
    </w:p>
    <w:p w14:paraId="2E1CE4C3">
      <w:pPr>
        <w:pStyle w:val="9"/>
        <w:widowControl w:val="0"/>
        <w:kinsoku/>
        <w:autoSpaceDE/>
        <w:autoSpaceDN/>
        <w:adjustRightInd/>
        <w:spacing w:line="360" w:lineRule="auto"/>
        <w:ind w:firstLine="480" w:firstLineChars="200"/>
        <w:jc w:val="both"/>
        <w:textAlignment w:val="auto"/>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维保评价结果为合格，支付70%合同款；</w:t>
      </w:r>
    </w:p>
    <w:p w14:paraId="24ED1035">
      <w:pPr>
        <w:spacing w:line="360" w:lineRule="auto"/>
        <w:ind w:left="420" w:leftChars="200"/>
        <w:rPr>
          <w:rFonts w:hint="eastAsia" w:ascii="宋体" w:hAnsi="宋体" w:eastAsia="宋体" w:cs="宋体"/>
          <w:snapToGrid/>
          <w:color w:val="auto"/>
          <w:kern w:val="0"/>
          <w:sz w:val="24"/>
          <w:szCs w:val="24"/>
          <w:lang w:val="en-US" w:eastAsia="zh-CN"/>
        </w:rPr>
      </w:pPr>
      <w:r>
        <w:rPr>
          <w:rFonts w:hint="eastAsia" w:ascii="宋体" w:hAnsi="宋体" w:eastAsia="宋体" w:cs="宋体"/>
          <w:snapToGrid/>
          <w:color w:val="auto"/>
          <w:kern w:val="0"/>
          <w:sz w:val="24"/>
          <w:szCs w:val="24"/>
          <w:lang w:val="en-US" w:eastAsia="zh-CN"/>
        </w:rPr>
        <w:t>维保评价结果为不合格，甲方有权拒付合同款。</w:t>
      </w:r>
    </w:p>
    <w:p w14:paraId="24909FBE">
      <w:pPr>
        <w:keepNext w:val="0"/>
        <w:keepLines w:val="0"/>
        <w:pageBreakBefore w:val="0"/>
        <w:widowControl w:val="0"/>
        <w:numPr>
          <w:ilvl w:val="0"/>
          <w:numId w:val="1"/>
        </w:numPr>
        <w:suppressLineNumbers w:val="0"/>
        <w:kinsoku w:val="0"/>
        <w:wordWrap/>
        <w:overflowPunct/>
        <w:topLinePunct w:val="0"/>
        <w:autoSpaceDE w:val="0"/>
        <w:autoSpaceDN/>
        <w:bidi w:val="0"/>
        <w:adjustRightInd w:val="0"/>
        <w:snapToGrid w:val="0"/>
        <w:spacing w:beforeAutospacing="0" w:afterAutospacing="0" w:line="360" w:lineRule="auto"/>
        <w:ind w:left="0" w:leftChars="0" w:right="0" w:firstLine="480" w:firstLineChars="200"/>
        <w:jc w:val="left"/>
        <w:textAlignment w:val="baseline"/>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t>投标人必须全部满足第三项项目基本要求内容。</w:t>
      </w:r>
    </w:p>
    <w:p w14:paraId="7B7B811D">
      <w:pPr>
        <w:rPr>
          <w:rFonts w:hint="eastAsia" w:ascii="宋体" w:hAnsi="宋体" w:eastAsia="宋体" w:cs="宋体"/>
          <w:snapToGrid/>
          <w:color w:val="auto"/>
          <w:kern w:val="0"/>
          <w:sz w:val="24"/>
          <w:szCs w:val="24"/>
          <w:lang w:val="en-US" w:eastAsia="zh-CN" w:bidi="ar"/>
        </w:rPr>
      </w:pPr>
      <w:r>
        <w:rPr>
          <w:rFonts w:hint="eastAsia" w:ascii="宋体" w:hAnsi="宋体" w:eastAsia="宋体" w:cs="宋体"/>
          <w:snapToGrid/>
          <w:color w:val="auto"/>
          <w:kern w:val="0"/>
          <w:sz w:val="24"/>
          <w:szCs w:val="24"/>
          <w:lang w:val="en-US" w:eastAsia="zh-CN" w:bidi="ar"/>
        </w:rPr>
        <w:br w:type="page"/>
      </w:r>
    </w:p>
    <w:p w14:paraId="335EDAFE">
      <w:pPr>
        <w:bidi w:val="0"/>
        <w:jc w:val="left"/>
        <w:rPr>
          <w:rFonts w:hint="default" w:ascii="Times New Roman" w:hAnsi="Times New Roman" w:eastAsia="宋体" w:cs="Times New Roman"/>
          <w:snapToGrid w:val="0"/>
          <w:color w:val="auto"/>
          <w:kern w:val="0"/>
          <w:sz w:val="24"/>
          <w:szCs w:val="24"/>
          <w:lang w:val="en-US" w:eastAsia="zh-CN" w:bidi="ar-SA"/>
        </w:rPr>
      </w:pPr>
      <w:r>
        <w:rPr>
          <w:rFonts w:hint="eastAsia" w:ascii="Times New Roman" w:hAnsi="Times New Roman" w:eastAsia="宋体" w:cs="Times New Roman"/>
          <w:snapToGrid w:val="0"/>
          <w:color w:val="auto"/>
          <w:kern w:val="0"/>
          <w:sz w:val="24"/>
          <w:szCs w:val="24"/>
          <w:lang w:val="en-US" w:eastAsia="zh-CN" w:bidi="ar-SA"/>
        </w:rPr>
        <w:t>附件1：</w:t>
      </w:r>
    </w:p>
    <w:p w14:paraId="24532764">
      <w:pPr>
        <w:bidi w:val="0"/>
        <w:jc w:val="center"/>
        <w:rPr>
          <w:rFonts w:hint="eastAsia" w:ascii="Times New Roman" w:hAnsi="Times New Roman" w:eastAsia="宋体" w:cs="Times New Roman"/>
          <w:snapToGrid w:val="0"/>
          <w:color w:val="auto"/>
          <w:kern w:val="0"/>
          <w:sz w:val="24"/>
          <w:szCs w:val="24"/>
          <w:lang w:val="en-US" w:eastAsia="zh-CN" w:bidi="ar-SA"/>
        </w:rPr>
      </w:pPr>
      <w:r>
        <w:rPr>
          <w:rFonts w:hint="eastAsia" w:ascii="Times New Roman" w:hAnsi="Times New Roman" w:eastAsia="宋体" w:cs="Times New Roman"/>
          <w:snapToGrid w:val="0"/>
          <w:color w:val="auto"/>
          <w:kern w:val="0"/>
          <w:sz w:val="24"/>
          <w:szCs w:val="24"/>
          <w:lang w:val="en-US" w:eastAsia="zh-CN" w:bidi="ar-SA"/>
        </w:rPr>
        <w:t>海南</w:t>
      </w:r>
      <w:r>
        <w:rPr>
          <w:rFonts w:hint="eastAsia" w:cs="Times New Roman"/>
          <w:snapToGrid w:val="0"/>
          <w:color w:val="auto"/>
          <w:kern w:val="0"/>
          <w:sz w:val="24"/>
          <w:szCs w:val="24"/>
          <w:lang w:val="en-US" w:eastAsia="zh-CN" w:bidi="ar-SA"/>
        </w:rPr>
        <w:t>医科大学</w:t>
      </w:r>
      <w:r>
        <w:rPr>
          <w:rFonts w:hint="eastAsia" w:ascii="Times New Roman" w:hAnsi="Times New Roman" w:eastAsia="宋体" w:cs="Times New Roman"/>
          <w:snapToGrid w:val="0"/>
          <w:color w:val="auto"/>
          <w:kern w:val="0"/>
          <w:sz w:val="24"/>
          <w:szCs w:val="24"/>
          <w:lang w:val="en-US" w:eastAsia="zh-CN" w:bidi="ar-SA"/>
        </w:rPr>
        <w:t>第二附属医院</w:t>
      </w:r>
      <w:r>
        <w:rPr>
          <w:rFonts w:hint="eastAsia"/>
          <w:color w:val="auto"/>
          <w:sz w:val="24"/>
          <w:szCs w:val="24"/>
          <w:lang w:val="en-US" w:eastAsia="zh-CN"/>
        </w:rPr>
        <w:t>自助机相关软硬件</w:t>
      </w:r>
      <w:r>
        <w:rPr>
          <w:rFonts w:hint="eastAsia" w:ascii="Times New Roman" w:hAnsi="Times New Roman" w:eastAsia="宋体" w:cs="Times New Roman"/>
          <w:snapToGrid w:val="0"/>
          <w:color w:val="auto"/>
          <w:kern w:val="0"/>
          <w:sz w:val="24"/>
          <w:szCs w:val="24"/>
          <w:lang w:val="en-US" w:eastAsia="zh-CN" w:bidi="ar-SA"/>
        </w:rPr>
        <w:t>维保服务</w:t>
      </w:r>
    </w:p>
    <w:p w14:paraId="51B6D3CF">
      <w:pPr>
        <w:bidi w:val="0"/>
        <w:jc w:val="center"/>
        <w:rPr>
          <w:rFonts w:hint="default" w:ascii="宋体" w:hAnsi="宋体" w:cs="宋体"/>
          <w:color w:val="auto"/>
          <w:sz w:val="28"/>
          <w:szCs w:val="28"/>
          <w:lang w:val="en-US" w:eastAsia="zh-CN"/>
        </w:rPr>
      </w:pPr>
      <w:r>
        <w:rPr>
          <w:rFonts w:hint="eastAsia" w:ascii="Times New Roman" w:hAnsi="Times New Roman" w:eastAsia="宋体" w:cs="Times New Roman"/>
          <w:snapToGrid w:val="0"/>
          <w:color w:val="auto"/>
          <w:kern w:val="0"/>
          <w:sz w:val="24"/>
          <w:szCs w:val="24"/>
          <w:lang w:val="en-US" w:eastAsia="zh-CN" w:bidi="ar-SA"/>
        </w:rPr>
        <w:t>保修期评价表</w:t>
      </w:r>
    </w:p>
    <w:tbl>
      <w:tblPr>
        <w:tblStyle w:val="7"/>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532"/>
        <w:gridCol w:w="1459"/>
        <w:gridCol w:w="1773"/>
        <w:gridCol w:w="1418"/>
        <w:gridCol w:w="3068"/>
      </w:tblGrid>
      <w:tr w14:paraId="625C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254" w:type="dxa"/>
            <w:gridSpan w:val="2"/>
            <w:vAlign w:val="center"/>
          </w:tcPr>
          <w:p w14:paraId="385B094A">
            <w:pPr>
              <w:pStyle w:val="3"/>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3232" w:type="dxa"/>
            <w:gridSpan w:val="2"/>
            <w:vAlign w:val="center"/>
          </w:tcPr>
          <w:p w14:paraId="1C4C8D45">
            <w:pPr>
              <w:pStyle w:val="3"/>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p>
        </w:tc>
        <w:tc>
          <w:tcPr>
            <w:tcW w:w="1418" w:type="dxa"/>
            <w:vAlign w:val="center"/>
          </w:tcPr>
          <w:p w14:paraId="05EF22AB">
            <w:pPr>
              <w:pStyle w:val="3"/>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承建供应商</w:t>
            </w:r>
          </w:p>
        </w:tc>
        <w:tc>
          <w:tcPr>
            <w:tcW w:w="3068" w:type="dxa"/>
            <w:vAlign w:val="center"/>
          </w:tcPr>
          <w:p w14:paraId="271A1157">
            <w:pPr>
              <w:pStyle w:val="3"/>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p>
        </w:tc>
      </w:tr>
      <w:tr w14:paraId="11C57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6"/>
            <w:vAlign w:val="center"/>
          </w:tcPr>
          <w:p w14:paraId="40CC3C53">
            <w:pPr>
              <w:pStyle w:val="3"/>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418C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19CFD71C">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91" w:type="dxa"/>
            <w:gridSpan w:val="2"/>
            <w:vAlign w:val="center"/>
          </w:tcPr>
          <w:p w14:paraId="06A9BABA">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评价维度</w:t>
            </w:r>
          </w:p>
        </w:tc>
        <w:tc>
          <w:tcPr>
            <w:tcW w:w="6259" w:type="dxa"/>
            <w:gridSpan w:val="3"/>
          </w:tcPr>
          <w:p w14:paraId="34058E4E">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各评分项0~10分</w:t>
            </w:r>
            <w:r>
              <w:rPr>
                <w:rFonts w:hint="eastAsia" w:ascii="宋体" w:hAnsi="宋体" w:eastAsia="宋体" w:cs="宋体"/>
                <w:color w:val="auto"/>
                <w:sz w:val="21"/>
                <w:szCs w:val="21"/>
                <w:lang w:eastAsia="zh-CN"/>
              </w:rPr>
              <w:t>）</w:t>
            </w:r>
          </w:p>
        </w:tc>
      </w:tr>
      <w:tr w14:paraId="39113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E8B76ED">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91" w:type="dxa"/>
            <w:gridSpan w:val="2"/>
            <w:vAlign w:val="top"/>
          </w:tcPr>
          <w:p w14:paraId="0B7359E8">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系统安全性</w:t>
            </w:r>
          </w:p>
        </w:tc>
        <w:tc>
          <w:tcPr>
            <w:tcW w:w="6259" w:type="dxa"/>
            <w:gridSpan w:val="3"/>
            <w:vAlign w:val="top"/>
          </w:tcPr>
          <w:p w14:paraId="7F2C795D">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60B23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75A7577">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91" w:type="dxa"/>
            <w:gridSpan w:val="2"/>
            <w:vAlign w:val="top"/>
          </w:tcPr>
          <w:p w14:paraId="2CC691AF">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系统稳定性</w:t>
            </w:r>
          </w:p>
        </w:tc>
        <w:tc>
          <w:tcPr>
            <w:tcW w:w="6259" w:type="dxa"/>
            <w:gridSpan w:val="3"/>
            <w:vAlign w:val="top"/>
          </w:tcPr>
          <w:p w14:paraId="55F2F013">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040A4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18724CD">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91" w:type="dxa"/>
            <w:gridSpan w:val="2"/>
            <w:vAlign w:val="top"/>
          </w:tcPr>
          <w:p w14:paraId="6326A902">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系统流畅性</w:t>
            </w:r>
          </w:p>
        </w:tc>
        <w:tc>
          <w:tcPr>
            <w:tcW w:w="6259" w:type="dxa"/>
            <w:gridSpan w:val="3"/>
            <w:vAlign w:val="top"/>
          </w:tcPr>
          <w:p w14:paraId="0E25B36B">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49C5C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6450AD2F">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991" w:type="dxa"/>
            <w:gridSpan w:val="2"/>
            <w:vAlign w:val="top"/>
          </w:tcPr>
          <w:p w14:paraId="2BC60984">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系统连续性</w:t>
            </w:r>
          </w:p>
        </w:tc>
        <w:tc>
          <w:tcPr>
            <w:tcW w:w="6259" w:type="dxa"/>
            <w:gridSpan w:val="3"/>
            <w:vAlign w:val="top"/>
          </w:tcPr>
          <w:p w14:paraId="283CD74E">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143A9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B93026F">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991" w:type="dxa"/>
            <w:gridSpan w:val="2"/>
            <w:vAlign w:val="top"/>
          </w:tcPr>
          <w:p w14:paraId="0371CC55">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平均无故障时间</w:t>
            </w:r>
          </w:p>
        </w:tc>
        <w:tc>
          <w:tcPr>
            <w:tcW w:w="6259" w:type="dxa"/>
            <w:gridSpan w:val="3"/>
            <w:vAlign w:val="top"/>
          </w:tcPr>
          <w:p w14:paraId="228C45B8">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14EE2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E75771F">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991" w:type="dxa"/>
            <w:gridSpan w:val="2"/>
            <w:vAlign w:val="top"/>
          </w:tcPr>
          <w:p w14:paraId="6CC88C37">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故障响应时间</w:t>
            </w:r>
          </w:p>
        </w:tc>
        <w:tc>
          <w:tcPr>
            <w:tcW w:w="6259" w:type="dxa"/>
            <w:gridSpan w:val="3"/>
            <w:vAlign w:val="top"/>
          </w:tcPr>
          <w:p w14:paraId="19AA4A6B">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63833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0EA3716">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991" w:type="dxa"/>
            <w:gridSpan w:val="2"/>
            <w:vAlign w:val="top"/>
          </w:tcPr>
          <w:p w14:paraId="6348B67B">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故障恢复速度</w:t>
            </w:r>
          </w:p>
        </w:tc>
        <w:tc>
          <w:tcPr>
            <w:tcW w:w="6259" w:type="dxa"/>
            <w:gridSpan w:val="3"/>
            <w:vAlign w:val="top"/>
          </w:tcPr>
          <w:p w14:paraId="7AE8A092">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77791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A3EE8DB">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991" w:type="dxa"/>
            <w:gridSpan w:val="2"/>
            <w:vAlign w:val="top"/>
          </w:tcPr>
          <w:p w14:paraId="0F3880A8">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故障改进评价</w:t>
            </w:r>
          </w:p>
        </w:tc>
        <w:tc>
          <w:tcPr>
            <w:tcW w:w="6259" w:type="dxa"/>
            <w:gridSpan w:val="3"/>
            <w:vAlign w:val="top"/>
          </w:tcPr>
          <w:p w14:paraId="5F335F66">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5730A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A271068">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991" w:type="dxa"/>
            <w:gridSpan w:val="2"/>
            <w:vAlign w:val="top"/>
          </w:tcPr>
          <w:p w14:paraId="1586F94F">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系统日常维护</w:t>
            </w:r>
          </w:p>
        </w:tc>
        <w:tc>
          <w:tcPr>
            <w:tcW w:w="6259" w:type="dxa"/>
            <w:gridSpan w:val="3"/>
            <w:vAlign w:val="top"/>
          </w:tcPr>
          <w:p w14:paraId="4492356F">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72C21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B39925D">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991" w:type="dxa"/>
            <w:gridSpan w:val="2"/>
            <w:vAlign w:val="top"/>
          </w:tcPr>
          <w:p w14:paraId="050714C2">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日常需求响应</w:t>
            </w:r>
          </w:p>
        </w:tc>
        <w:tc>
          <w:tcPr>
            <w:tcW w:w="6259" w:type="dxa"/>
            <w:gridSpan w:val="3"/>
            <w:vAlign w:val="top"/>
          </w:tcPr>
          <w:p w14:paraId="7FFFB2D7">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40594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3"/>
            <w:vAlign w:val="top"/>
          </w:tcPr>
          <w:p w14:paraId="391571DE">
            <w:pPr>
              <w:pStyle w:val="3"/>
              <w:keepNext w:val="0"/>
              <w:keepLines w:val="0"/>
              <w:pageBreakBefore w:val="0"/>
              <w:widowControl w:val="0"/>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6259" w:type="dxa"/>
            <w:gridSpan w:val="3"/>
            <w:vAlign w:val="top"/>
          </w:tcPr>
          <w:p w14:paraId="72EFBAB3">
            <w:pPr>
              <w:pStyle w:val="3"/>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z w:val="21"/>
                <w:szCs w:val="21"/>
              </w:rPr>
            </w:pPr>
          </w:p>
        </w:tc>
      </w:tr>
      <w:tr w14:paraId="34AF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6"/>
          </w:tcPr>
          <w:p w14:paraId="124269DA">
            <w:pPr>
              <w:pStyle w:val="3"/>
              <w:widowControl w:val="0"/>
              <w:spacing w:before="87"/>
              <w:ind w:left="0"/>
              <w:jc w:val="both"/>
              <w:rPr>
                <w:rFonts w:hint="eastAsia" w:ascii="宋体" w:hAnsi="宋体" w:eastAsia="宋体" w:cs="宋体"/>
                <w:color w:val="auto"/>
                <w:sz w:val="21"/>
                <w:szCs w:val="21"/>
              </w:rPr>
            </w:pPr>
            <w:r>
              <w:rPr>
                <w:rFonts w:hint="eastAsia" w:ascii="宋体" w:hAnsi="宋体" w:eastAsia="宋体" w:cs="宋体"/>
                <w:color w:val="auto"/>
                <w:sz w:val="21"/>
                <w:szCs w:val="21"/>
              </w:rPr>
              <w:t>评价意见：</w:t>
            </w:r>
          </w:p>
          <w:p w14:paraId="06BF7646">
            <w:pPr>
              <w:pStyle w:val="3"/>
              <w:widowControl w:val="0"/>
              <w:spacing w:before="87"/>
              <w:ind w:left="0"/>
              <w:jc w:val="both"/>
              <w:rPr>
                <w:rFonts w:hint="eastAsia" w:ascii="宋体" w:hAnsi="宋体" w:eastAsia="宋体" w:cs="宋体"/>
                <w:color w:val="auto"/>
                <w:sz w:val="21"/>
                <w:szCs w:val="21"/>
              </w:rPr>
            </w:pPr>
          </w:p>
          <w:p w14:paraId="6309A022">
            <w:pPr>
              <w:pStyle w:val="3"/>
              <w:widowControl w:val="0"/>
              <w:spacing w:before="87"/>
              <w:ind w:left="0"/>
              <w:jc w:val="both"/>
              <w:rPr>
                <w:rFonts w:hint="eastAsia" w:ascii="宋体" w:hAnsi="宋体" w:eastAsia="宋体" w:cs="宋体"/>
                <w:color w:val="auto"/>
                <w:sz w:val="21"/>
                <w:szCs w:val="21"/>
              </w:rPr>
            </w:pPr>
          </w:p>
          <w:p w14:paraId="2ED57B71">
            <w:pPr>
              <w:pStyle w:val="3"/>
              <w:widowControl w:val="0"/>
              <w:spacing w:before="87"/>
              <w:ind w:left="0"/>
              <w:jc w:val="both"/>
              <w:rPr>
                <w:rFonts w:hint="eastAsia" w:ascii="宋体" w:hAnsi="宋体" w:eastAsia="宋体" w:cs="宋体"/>
                <w:color w:val="auto"/>
                <w:sz w:val="21"/>
                <w:szCs w:val="21"/>
              </w:rPr>
            </w:pPr>
          </w:p>
          <w:p w14:paraId="5E31988A">
            <w:pPr>
              <w:pStyle w:val="3"/>
              <w:widowControl w:val="0"/>
              <w:spacing w:before="87"/>
              <w:ind w:left="0"/>
              <w:jc w:val="both"/>
              <w:rPr>
                <w:rFonts w:hint="eastAsia" w:ascii="宋体" w:hAnsi="宋体" w:eastAsia="宋体" w:cs="宋体"/>
                <w:color w:val="auto"/>
                <w:sz w:val="21"/>
                <w:szCs w:val="21"/>
              </w:rPr>
            </w:pPr>
          </w:p>
          <w:p w14:paraId="2B6AA22A">
            <w:pPr>
              <w:pStyle w:val="3"/>
              <w:widowControl w:val="0"/>
              <w:spacing w:before="87"/>
              <w:ind w:left="0"/>
              <w:jc w:val="both"/>
              <w:rPr>
                <w:rFonts w:hint="eastAsia" w:ascii="宋体" w:hAnsi="宋体" w:eastAsia="宋体" w:cs="宋体"/>
                <w:color w:val="auto"/>
                <w:sz w:val="21"/>
                <w:szCs w:val="21"/>
              </w:rPr>
            </w:pPr>
          </w:p>
          <w:p w14:paraId="5E3615BF">
            <w:pPr>
              <w:pStyle w:val="3"/>
              <w:widowControl w:val="0"/>
              <w:spacing w:before="87"/>
              <w:ind w:left="0"/>
              <w:jc w:val="both"/>
              <w:rPr>
                <w:rFonts w:hint="eastAsia" w:ascii="宋体" w:hAnsi="宋体" w:eastAsia="宋体" w:cs="宋体"/>
                <w:color w:val="auto"/>
                <w:sz w:val="21"/>
                <w:szCs w:val="21"/>
              </w:rPr>
            </w:pPr>
          </w:p>
          <w:p w14:paraId="3C9153BF">
            <w:pPr>
              <w:pStyle w:val="3"/>
              <w:widowControl w:val="0"/>
              <w:spacing w:before="87"/>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58BB7D99">
            <w:pPr>
              <w:pStyle w:val="3"/>
              <w:widowControl w:val="0"/>
              <w:spacing w:before="87"/>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日期：      年    月    日</w:t>
            </w:r>
            <w:r>
              <w:rPr>
                <w:rFonts w:hint="eastAsia" w:ascii="宋体" w:hAnsi="宋体" w:eastAsia="宋体" w:cs="宋体"/>
                <w:color w:val="auto"/>
                <w:sz w:val="21"/>
                <w:szCs w:val="21"/>
              </w:rPr>
              <w:t xml:space="preserve">                                                    </w:t>
            </w:r>
          </w:p>
        </w:tc>
      </w:tr>
    </w:tbl>
    <w:p w14:paraId="3E8E623C">
      <w:pPr>
        <w:keepNext w:val="0"/>
        <w:keepLines w:val="0"/>
        <w:pageBreakBefore w:val="0"/>
        <w:widowControl w:val="0"/>
        <w:numPr>
          <w:ilvl w:val="0"/>
          <w:numId w:val="0"/>
        </w:numPr>
        <w:suppressLineNumbers w:val="0"/>
        <w:kinsoku w:val="0"/>
        <w:wordWrap/>
        <w:overflowPunct/>
        <w:topLinePunct w:val="0"/>
        <w:autoSpaceDE w:val="0"/>
        <w:autoSpaceDN/>
        <w:bidi w:val="0"/>
        <w:adjustRightInd w:val="0"/>
        <w:snapToGrid w:val="0"/>
        <w:spacing w:beforeAutospacing="0" w:afterAutospacing="0" w:line="360" w:lineRule="auto"/>
        <w:ind w:leftChars="200" w:right="0" w:rightChars="0"/>
        <w:jc w:val="left"/>
        <w:textAlignment w:val="baseline"/>
        <w:rPr>
          <w:rFonts w:hint="eastAsia" w:ascii="宋体" w:hAnsi="宋体" w:eastAsia="宋体" w:cs="宋体"/>
          <w:snapToGrid/>
          <w:color w:val="auto"/>
          <w:kern w:val="0"/>
          <w:sz w:val="24"/>
          <w:szCs w:val="24"/>
          <w:lang w:val="en-US" w:eastAsia="zh-CN" w:bidi="ar"/>
        </w:rPr>
      </w:pPr>
    </w:p>
    <w:p w14:paraId="3B7A4A1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B2DAE"/>
    <w:multiLevelType w:val="singleLevel"/>
    <w:tmpl w:val="1F8B2DAE"/>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2190B"/>
    <w:rsid w:val="06D05204"/>
    <w:rsid w:val="09042092"/>
    <w:rsid w:val="11887546"/>
    <w:rsid w:val="18FE560D"/>
    <w:rsid w:val="216C6661"/>
    <w:rsid w:val="22E2190B"/>
    <w:rsid w:val="24ED62A3"/>
    <w:rsid w:val="2C8B4122"/>
    <w:rsid w:val="2F7A243F"/>
    <w:rsid w:val="336B1A39"/>
    <w:rsid w:val="350666F0"/>
    <w:rsid w:val="357E7FD7"/>
    <w:rsid w:val="36F80606"/>
    <w:rsid w:val="3AC81444"/>
    <w:rsid w:val="43574906"/>
    <w:rsid w:val="43F63E14"/>
    <w:rsid w:val="58BA3515"/>
    <w:rsid w:val="5EBE1F87"/>
    <w:rsid w:val="68EB5315"/>
    <w:rsid w:val="71F34B83"/>
    <w:rsid w:val="76CA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Indent 3"/>
    <w:basedOn w:val="1"/>
    <w:qFormat/>
    <w:uiPriority w:val="0"/>
    <w:pPr>
      <w:widowControl/>
      <w:spacing w:before="60" w:beforeLines="0" w:after="60" w:afterLines="0" w:line="280" w:lineRule="atLeast"/>
      <w:ind w:right="291" w:firstLine="400"/>
    </w:pPr>
    <w:rPr>
      <w:rFonts w:ascii="宋体"/>
      <w:kern w:val="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楷体粗正文文字"/>
    <w:basedOn w:val="1"/>
    <w:next w:val="5"/>
    <w:qFormat/>
    <w:uiPriority w:val="0"/>
    <w:pPr>
      <w:kinsoku w:val="0"/>
      <w:autoSpaceDE w:val="0"/>
      <w:autoSpaceDN w:val="0"/>
      <w:adjustRightInd w:val="0"/>
      <w:snapToGrid w:val="0"/>
      <w:spacing w:before="0" w:beforeAutospacing="0" w:after="0" w:afterAutospacing="0" w:line="480" w:lineRule="exact"/>
      <w:ind w:left="0" w:right="0" w:firstLine="560" w:firstLineChars="0"/>
      <w:jc w:val="left"/>
      <w:textAlignment w:val="baseline"/>
    </w:pPr>
    <w:rPr>
      <w:rFonts w:hint="default" w:ascii="Arial" w:hAnsi="Arial" w:cs="Arial"/>
      <w:snapToGrid/>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5</Pages>
  <Words>2202</Words>
  <Characters>2266</Characters>
  <Lines>0</Lines>
  <Paragraphs>0</Paragraphs>
  <TotalTime>0</TotalTime>
  <ScaleCrop>false</ScaleCrop>
  <LinksUpToDate>false</LinksUpToDate>
  <CharactersWithSpaces>2277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2025-03-17T02:26:00Z</dcterms:created>
  <dc:creator></dc:creator>
  <cp:lastModifiedBy>小鳄鱼</cp:lastModifiedBy>
  <dcterms:modified xsi:type="dcterms:W3CDTF">2025-07-29T01:31:33Z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0D6BA302F8A94635A88B295607C932F0_13</vt:lpwstr>
  </property>
  <property fmtid="{D5CDD505-2E9C-101B-9397-08002B2CF9AE}" pid="4" name="KSOTemplateDocerSaveRecord">
    <vt:lpwstr>eyJoZGlkIjoiNTVjMjgzNTIzYmU1YzM0YTcwYjJjYmM2MTZmOTY4ZmIiLCJ1c2VySWQiOiI1NDc0OTMzNzcifQ==</vt:lpwstr>
  </property>
</Properties>
</file>